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85725</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113665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001-14875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83185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4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40"/>
          <w:szCs w:val="40"/>
          <w:b w:val="1"/>
          <w:bCs w:val="1"/>
          <w:color w:val="auto"/>
        </w:rPr>
        <w:t>FTI CONSULTING,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236220</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6"/>
        </w:trPr>
        <w:tc>
          <w:tcPr>
            <w:tcW w:w="300" w:type="dxa"/>
            <w:vAlign w:val="bottom"/>
          </w:tcPr>
          <w:p>
            <w:pPr>
              <w:spacing w:after="0"/>
              <w:rPr>
                <w:sz w:val="12"/>
                <w:szCs w:val="12"/>
                <w:color w:val="auto"/>
              </w:rPr>
            </w:pPr>
          </w:p>
        </w:tc>
        <w:tc>
          <w:tcPr>
            <w:tcW w:w="4260" w:type="dxa"/>
            <w:vAlign w:val="bottom"/>
            <w:gridSpan w:val="3"/>
          </w:tcPr>
          <w:p>
            <w:pPr>
              <w:jc w:val="center"/>
              <w:ind w:left="47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jc w:val="center"/>
              <w:ind w:right="172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00" w:type="dxa"/>
            <w:vAlign w:val="bottom"/>
          </w:tcPr>
          <w:p>
            <w:pPr>
              <w:spacing w:after="0"/>
              <w:rPr>
                <w:sz w:val="24"/>
                <w:szCs w:val="24"/>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8"/>
              </w:rPr>
              <w:t>555 12th Street NW</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9"/>
              </w:rPr>
              <w:t>DC</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 312-9100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5"/>
        </w:trPr>
        <w:tc>
          <w:tcPr>
            <w:tcW w:w="300" w:type="dxa"/>
            <w:vAlign w:val="bottom"/>
          </w:tcPr>
          <w:p>
            <w:pPr>
              <w:spacing w:after="0"/>
              <w:rPr>
                <w:sz w:val="19"/>
                <w:szCs w:val="19"/>
                <w:color w:val="auto"/>
              </w:rPr>
            </w:pPr>
          </w:p>
        </w:tc>
        <w:tc>
          <w:tcPr>
            <w:tcW w:w="106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31"/>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00" w:type="dxa"/>
            <w:vAlign w:val="bottom"/>
            <w:tcBorders>
              <w:top w:val="single" w:sz="8" w:color="auto"/>
            </w:tcBorders>
            <w:gridSpan w:val="2"/>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327"/>
        </w:trPr>
        <w:tc>
          <w:tcPr>
            <w:tcW w:w="300" w:type="dxa"/>
            <w:vAlign w:val="bottom"/>
          </w:tcPr>
          <w:p>
            <w:pPr>
              <w:spacing w:after="0"/>
              <w:rPr>
                <w:sz w:val="24"/>
                <w:szCs w:val="24"/>
                <w:color w:val="auto"/>
              </w:rPr>
            </w:pPr>
          </w:p>
        </w:tc>
        <w:tc>
          <w:tcPr>
            <w:tcW w:w="4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00" w:type="dxa"/>
            <w:vAlign w:val="bottom"/>
          </w:tcPr>
          <w:p>
            <w:pPr>
              <w:spacing w:after="0"/>
              <w:rPr>
                <w:sz w:val="18"/>
                <w:szCs w:val="18"/>
                <w:color w:val="auto"/>
              </w:rPr>
            </w:pPr>
          </w:p>
        </w:tc>
        <w:tc>
          <w:tcPr>
            <w:tcW w:w="40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0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FCN</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71" w:lineRule="exact"/>
        <w:rPr>
          <w:sz w:val="24"/>
          <w:szCs w:val="24"/>
          <w:color w:val="auto"/>
        </w:rPr>
      </w:pPr>
    </w:p>
    <w:p>
      <w:pPr>
        <w:ind w:right="200" w:firstLine="486"/>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20" w:firstLine="48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18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820" w:type="dxa"/>
            <w:vAlign w:val="bottom"/>
          </w:tcPr>
          <w:p>
            <w:pPr>
              <w:spacing w:after="0"/>
              <w:rPr>
                <w:sz w:val="16"/>
                <w:szCs w:val="16"/>
                <w:color w:val="auto"/>
              </w:rPr>
            </w:pPr>
          </w:p>
        </w:tc>
        <w:tc>
          <w:tcPr>
            <w:tcW w:w="4180" w:type="dxa"/>
            <w:vAlign w:val="bottom"/>
            <w:gridSpan w:val="2"/>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Outstanding at October 16, 2025</w:t>
            </w:r>
          </w:p>
        </w:tc>
      </w:tr>
      <w:tr>
        <w:trPr>
          <w:trHeight w:val="20"/>
        </w:trPr>
        <w:tc>
          <w:tcPr>
            <w:tcW w:w="2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0"/>
        </w:trPr>
        <w:tc>
          <w:tcPr>
            <w:tcW w:w="706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30,876,070</w:t>
            </w:r>
          </w:p>
        </w:tc>
        <w:tc>
          <w:tcPr>
            <w:tcW w:w="1920" w:type="dxa"/>
            <w:vAlign w:val="bottom"/>
          </w:tcPr>
          <w:p>
            <w:pPr>
              <w:spacing w:after="0"/>
              <w:rPr>
                <w:sz w:val="20"/>
                <w:szCs w:val="20"/>
                <w:color w:val="auto"/>
              </w:rPr>
            </w:pPr>
          </w:p>
        </w:tc>
      </w:tr>
      <w:tr>
        <w:trPr>
          <w:trHeight w:val="155"/>
        </w:trPr>
        <w:tc>
          <w:tcPr>
            <w:tcW w:w="2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608"/>
        </w:trPr>
        <w:tc>
          <w:tcPr>
            <w:tcW w:w="2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 w:name="page2"/>
    <w:bookmarkEnd w:id="1"/>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18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1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Sheets—September 30, 2025 and December 31, 2024</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Income—Three and Nine Months Ended September 30, 2025 and 2024</w:t>
      </w:r>
    </w:p>
    <w:p>
      <w:pPr>
        <w:spacing w:after="0" w:line="2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Equity—Three and Nine Months Ended September 30, 2025 and 2024</w:t>
      </w:r>
    </w:p>
    <w:p>
      <w:pPr>
        <w:spacing w:after="0" w:line="279" w:lineRule="exact"/>
        <w:rPr>
          <w:sz w:val="20"/>
          <w:szCs w:val="20"/>
          <w:color w:val="auto"/>
        </w:rPr>
      </w:pPr>
    </w:p>
    <w:p>
      <w:pPr>
        <w:ind w:left="1060" w:right="1640"/>
        <w:spacing w:after="0" w:line="453"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Flows—Nine Months Ended September 30, 2025 and 2024 Notes to Condensed Consolidated Financial Statements</w:t>
      </w:r>
    </w:p>
    <w:p>
      <w:pPr>
        <w:spacing w:after="0" w:line="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8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8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2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40</w:t>
      </w:r>
    </w:p>
    <w:p>
      <w:pPr>
        <w:spacing w:after="0" w:line="562" w:lineRule="exact"/>
        <w:rPr>
          <w:sz w:val="20"/>
          <w:szCs w:val="20"/>
          <w:color w:val="auto"/>
        </w:rPr>
      </w:pPr>
    </w:p>
    <w:p>
      <w:pPr>
        <w:sectPr>
          <w:pgSz w:w="11900" w:h="16838" w:orient="portrait"/>
          <w:cols w:equalWidth="0" w:num="2">
            <w:col w:w="10240" w:space="420"/>
            <w:col w:w="58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100" w:type="dxa"/>
            <w:vAlign w:val="bottom"/>
            <w:gridSpan w:val="4"/>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8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100" w:type="dxa"/>
            <w:vAlign w:val="bottom"/>
            <w:gridSpan w:val="2"/>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gridSpan w:val="3"/>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71"/>
        </w:trPr>
        <w:tc>
          <w:tcPr>
            <w:tcW w:w="2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871"/>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FTI Consulting, Inc. and Subsidiaries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620" w:type="dxa"/>
            <w:vAlign w:val="bottom"/>
          </w:tcPr>
          <w:p>
            <w:pPr>
              <w:spacing w:after="0"/>
              <w:rPr>
                <w:sz w:val="24"/>
                <w:szCs w:val="24"/>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3"/>
        </w:trPr>
        <w:tc>
          <w:tcPr>
            <w:tcW w:w="6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6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6"/>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660,493</w:t>
            </w:r>
          </w:p>
        </w:tc>
      </w:tr>
      <w:tr>
        <w:trPr>
          <w:trHeight w:val="229"/>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1,020,174</w:t>
            </w: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29"/>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93,953</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1,819,514</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150,295</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1,226,556</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receivable,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109,119</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76,258</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3,596,830</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224,394</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639,745</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931,759</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208,036</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111,825</w:t>
            </w:r>
          </w:p>
        </w:tc>
      </w:tr>
      <w:tr>
        <w:trPr>
          <w:trHeight w:val="230"/>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86,920</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1,338,540</w:t>
            </w:r>
          </w:p>
        </w:tc>
      </w:tr>
      <w:tr>
        <w:trPr>
          <w:trHeight w:val="21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4"/>
        </w:trPr>
        <w:tc>
          <w:tcPr>
            <w:tcW w:w="8320" w:type="dxa"/>
            <w:vAlign w:val="bottom"/>
            <w:gridSpan w:val="2"/>
          </w:tcPr>
          <w:p>
            <w:pPr>
              <w:ind w:left="520"/>
              <w:spacing w:after="0" w:line="184" w:lineRule="exact"/>
              <w:rPr>
                <w:sz w:val="20"/>
                <w:szCs w:val="20"/>
                <w:color w:val="auto"/>
              </w:rPr>
            </w:pPr>
            <w:r>
              <w:rPr>
                <w:rFonts w:ascii="Times New Roman" w:cs="Times New Roman" w:eastAsia="Times New Roman" w:hAnsi="Times New Roman"/>
                <w:sz w:val="18"/>
                <w:szCs w:val="18"/>
                <w:color w:val="auto"/>
              </w:rPr>
              <w:t>Preferred stock, $0.01 par value; shares authorized — 5,000; none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320" w:type="dxa"/>
            <w:vAlign w:val="bottom"/>
            <w:gridSpan w:val="2"/>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Common stock, $0.01 par value; shares authorized — 75,000; shares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620" w:type="dxa"/>
            <w:vAlign w:val="bottom"/>
            <w:shd w:val="clear" w:color="auto" w:fill="CCEEFF"/>
          </w:tcPr>
          <w:p>
            <w:pPr>
              <w:spacing w:after="0"/>
              <w:rPr>
                <w:sz w:val="20"/>
                <w:szCs w:val="20"/>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issued and outstanding 31,346 (2025) and 35,913 (2024)</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2,394,853</w:t>
            </w:r>
          </w:p>
        </w:tc>
      </w:tr>
      <w:tr>
        <w:trPr>
          <w:trHeight w:val="230"/>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(176,572)</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2,258,290</w:t>
            </w:r>
          </w:p>
        </w:tc>
      </w:tr>
      <w:tr>
        <w:trPr>
          <w:trHeight w:val="223"/>
        </w:trPr>
        <w:tc>
          <w:tcPr>
            <w:tcW w:w="620" w:type="dxa"/>
            <w:vAlign w:val="bottom"/>
          </w:tcPr>
          <w:p>
            <w:pPr>
              <w:spacing w:after="0"/>
              <w:rPr>
                <w:sz w:val="19"/>
                <w:szCs w:val="19"/>
                <w:color w:val="auto"/>
              </w:rPr>
            </w:pPr>
          </w:p>
        </w:tc>
        <w:tc>
          <w:tcPr>
            <w:tcW w:w="77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3,596,830</w:t>
            </w:r>
          </w:p>
        </w:tc>
      </w:tr>
      <w:tr>
        <w:trPr>
          <w:trHeight w:val="20"/>
        </w:trPr>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926,019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2,803,728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1,891,862</w:t>
            </w:r>
          </w:p>
        </w:tc>
        <w:tc>
          <w:tcPr>
            <w:tcW w:w="0" w:type="dxa"/>
            <w:vAlign w:val="bottom"/>
          </w:tcPr>
          <w:p>
            <w:pPr>
              <w:spacing w:after="0"/>
              <w:rPr>
                <w:sz w:val="1"/>
                <w:szCs w:val="1"/>
                <w:color w:val="auto"/>
              </w:rPr>
            </w:pPr>
          </w:p>
        </w:tc>
      </w:tr>
      <w:tr>
        <w:trPr>
          <w:trHeight w:val="27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614,100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2,509,111</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294,617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290,963</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230,378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expense of $0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(187,676)</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2,149,638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(358,240)</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1,899,881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(236,344)</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228,114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(228,114)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1,749,655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1,981,420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79,965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79,965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440"/>
              <w:spacing w:after="0" w:line="165" w:lineRule="exact"/>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57</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2,054,356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83,947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83,947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2,149,380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28,752</w:t>
            </w: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settled shares of 10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2,345,143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(134,859)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2,252,199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230,378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notes receivable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billed and unbilled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receivable, net of repayments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(83,533)</w:t>
            </w:r>
          </w:p>
        </w:tc>
        <w:tc>
          <w:tcPr>
            <w:tcW w:w="0" w:type="dxa"/>
            <w:vAlign w:val="bottom"/>
          </w:tcPr>
          <w:p>
            <w:pPr>
              <w:spacing w:after="0"/>
              <w:rPr>
                <w:sz w:val="1"/>
                <w:szCs w:val="1"/>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(57,691)</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Maturity of short-term investment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tax withholdings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on stock option exercises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Deposits and 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303,222</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paid for income taxes and tax credits, net of refunds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Issuance of stock units under incentive compensation plans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Excise tax on purchase and retirement of common stock</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Non-cash additions to property and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 and share amounts in tables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FTI Consulting, Inc., including its consolidated subsidiaries (collectively, the “Company,” “we,” “our” or “FTI Consulting”), presented herein, have been prepared in accordance with generally accepted accounting principles in the United States (“GAAP”) and under the rules and regulations of the Securities and Exchange Commission (“SEC”) for interim financial information. Some of the information and footnote disclosures normally included in annual financial statements have been condensed or omitted pursuant to those rules and regulations. Certain prior period amounts have been reclassified to conform to the current period presentation. In management’s opinion, the interim financial statements reflect all adjustments that are necessary for a fair presentation of the results for the interim periods presented. All adjustments made were normal recurring accruals. The fair values of all financial instruments are estimated to be equal to their carrying values as of September 30, 2025 and December 31, 2024. Results of operations for the interim periods presented herein are not necessarily indicative of results of operations for a full year. These financial statements should be read in conjunction with the consolidated financial statements and the notes thereto contained in our Annual Report on Form 10-K for the year ended December 31, 2024 filed with the SEC.</w:t>
      </w:r>
    </w:p>
    <w:p>
      <w:pPr>
        <w:spacing w:after="0" w:line="140"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Part II, Item 8, of our Annual Report on Form 10-K for the year ended December 31, 2024 describes the significant accounting policies and methods used in preparation of the Condensed Consolidated Financial Statements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Improvements to Income Tax Disclosures</w:t>
      </w:r>
      <w:r>
        <w:rPr>
          <w:rFonts w:ascii="Times New Roman" w:cs="Times New Roman" w:eastAsia="Times New Roman" w:hAnsi="Times New Roman"/>
          <w:sz w:val="18"/>
          <w:szCs w:val="18"/>
          <w:color w:val="auto"/>
        </w:rPr>
        <w:t>, which expands annual disclosures in an entity’s income tax rate reconciliation table and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disclosures regarding cash taxes paid both in the United States (“U.S.”) (federal, state and local) and foreign jurisdictions. The amendments in this ASU are effective for annual periods beginning after December 15, 2024, although early adoption is permitted. The Company does not expect the adoption of this ASU to have a material impact on its consolidated financial statements, but it will result in additional annual disclosures.</w:t>
      </w:r>
    </w:p>
    <w:p>
      <w:pPr>
        <w:spacing w:after="0" w:line="1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additional, disaggregated disclosure around certain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spacing w:after="0" w:line="129"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which modernizes the accounting for internal-use software costs by increasing the operability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recognition guidance to reflect neutrality toward different methods of software development. The amendments in this ASU are effective for annual and interim periods beginning after December 15, 2027 and can be applied prospectively, retrospectively, or with a modified transition approach. Early adoption is permitted. The Company is in the process of evaluating the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230,378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35,172</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Antidilutive stock options and share-based awards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7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generate the majority of our revenues by providing consulting services to our clients. 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w:t>
      </w:r>
    </w:p>
    <w:p>
      <w:pPr>
        <w:spacing w:after="0" w:line="1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$5.9 million and $17.4 million for the three and nine months ended September 30, 2025, respectively, and $8.8 million and $16.2 million for the three and nine months ended September 30, 2024, respectively.</w:t>
      </w:r>
    </w:p>
    <w:p>
      <w:pPr>
        <w:spacing w:after="0" w:line="13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Unfulfilled performance obligations primarily consist of fees not yet recognized on certain fixed-fee, performance-based and contingent arrangements. As of September 30, 2025 and December 31, 2024, the aggregate amount of the remaining contract transaction price allocated to unfulfilled performance obligations was $21.8 million and $25.5 million, respectively. We expect to recognize all of the related revenues over the next 24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spacing w:after="0" w:line="13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Contract assets are defined as assets for which we have recorded revenues but are not yet entitled to receive our fees because certain events, such as completion of the measurement period or client approval, must occur. The contract asset balance was immaterial as of September 30, 2025 and December 31, 2024.</w:t>
      </w:r>
    </w:p>
    <w:p>
      <w:pPr>
        <w:spacing w:after="0" w:line="12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Contract liabilities are defined as liabilities incurred when we have received consideration but have not yet performed the agreed-upon services. This may occur when clients pay fees before work begins. The contract liability balance was immaterial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Accounts Receivable and Allowance for Expected Credit Losses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receivable, net” as presented on the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742,504</w:t>
            </w:r>
          </w:p>
        </w:tc>
      </w:tr>
      <w:tr>
        <w:trPr>
          <w:trHeight w:val="230"/>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368,216</w:t>
            </w:r>
          </w:p>
        </w:tc>
      </w:tr>
      <w:tr>
        <w:trPr>
          <w:trHeight w:val="229"/>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provision for expected credit losses and write-offs: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w:t>
            </w:r>
          </w:p>
        </w:tc>
      </w:tr>
    </w:tbl>
    <w:p>
      <w:pPr>
        <w:spacing w:after="0" w:line="22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expected credit losses includes recoveries, direct write-offs and charges to other accounts. Billed accounts receivables are written off when the potential for recovery is considered remote.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Special Charges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months ended September 30, 2025.</w:t>
      </w:r>
    </w:p>
    <w:p>
      <w:pPr>
        <w:spacing w:after="0" w:line="171"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special charges of $25.3 million related to targeted headcount reductions in each segment and region where we realigned our workforce with current business demand for our consulting services. The special charges concluded as of March 31, 2025. A portion of the special charges was paid during the nine months ended September 30, 2025 and the remaining amounts will be paid in cash in the next six months. These amounts are included in “Accounts payable, accrued expenses and other” on our Condensed Consolidated Balance Sheets.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special charges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Finance &amp; Restructuring (“Corporate Finance”)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Forensic and Litigation Consulting (“FLC”)</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Consulting</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50"/>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3"/>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0"/>
        </w:trPr>
        <w:tc>
          <w:tcPr>
            <w:tcW w:w="9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by reportable segment: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28"/>
                <w:szCs w:val="28"/>
                <w:b w:val="1"/>
                <w:bCs w:val="1"/>
                <w:color w:val="auto"/>
                <w:vertAlign w:val="subscript"/>
              </w:rPr>
              <w:t>FLC</w:t>
            </w:r>
            <w:r>
              <w:rPr>
                <w:rFonts w:ascii="Times New Roman" w:cs="Times New Roman" w:eastAsia="Times New Roman" w:hAnsi="Times New Roman"/>
                <w:sz w:val="9"/>
                <w:szCs w:val="9"/>
                <w:b w:val="1"/>
                <w:bCs w:val="1"/>
                <w:color w:val="auto"/>
              </w:rPr>
              <w:t xml:space="preserve"> (1)</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20" w:type="dxa"/>
            <w:vAlign w:val="bottom"/>
          </w:tcPr>
          <w:p>
            <w:pPr>
              <w:spacing w:after="0"/>
              <w:rPr>
                <w:sz w:val="17"/>
                <w:szCs w:val="17"/>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Consulting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Communications </w:t>
            </w:r>
            <w:r>
              <w:rPr>
                <w:rFonts w:ascii="Times New Roman" w:cs="Times New Roman" w:eastAsia="Times New Roman" w:hAnsi="Times New Roman"/>
                <w:sz w:val="18"/>
                <w:szCs w:val="18"/>
                <w:b w:val="1"/>
                <w:bCs w:val="1"/>
                <w:color w:val="auto"/>
                <w:w w:val="98"/>
                <w:vertAlign w:val="superscript"/>
              </w:rPr>
              <w:t>(2)</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212,367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1,226,556</w:t>
            </w:r>
          </w:p>
        </w:tc>
        <w:tc>
          <w:tcPr>
            <w:tcW w:w="0" w:type="dxa"/>
            <w:vAlign w:val="bottom"/>
          </w:tcPr>
          <w:p>
            <w:pPr>
              <w:spacing w:after="0"/>
              <w:rPr>
                <w:sz w:val="1"/>
                <w:szCs w:val="1"/>
                <w:color w:val="auto"/>
              </w:rPr>
            </w:pPr>
          </w:p>
        </w:tc>
      </w:tr>
      <w:tr>
        <w:trPr>
          <w:trHeight w:val="176"/>
        </w:trPr>
        <w:tc>
          <w:tcPr>
            <w:tcW w:w="31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1,241,422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380" w:hanging="652"/>
        <w:spacing w:after="0" w:line="229" w:lineRule="auto"/>
        <w:tabs>
          <w:tab w:leader="none" w:pos="265"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accumulated impairment losses for the Corporate Finance, FLC, Economic Consulting or Technology segments as of September 30, 2025 and December 31, 2024.</w:t>
      </w:r>
    </w:p>
    <w:p>
      <w:pPr>
        <w:spacing w:after="0" w:line="144" w:lineRule="exact"/>
        <w:rPr>
          <w:rFonts w:ascii="Times New Roman" w:cs="Times New Roman" w:eastAsia="Times New Roman" w:hAnsi="Times New Roman"/>
          <w:sz w:val="23"/>
          <w:szCs w:val="23"/>
          <w:color w:val="auto"/>
          <w:vertAlign w:val="superscript"/>
        </w:rPr>
      </w:pPr>
    </w:p>
    <w:p>
      <w:pPr>
        <w:ind w:left="660" w:right="140" w:hanging="652"/>
        <w:spacing w:after="0" w:line="229" w:lineRule="auto"/>
        <w:tabs>
          <w:tab w:leader="none" w:pos="265"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our Strategic Communications segment include gross carrying values of $312.4 million and $307.9 million as of September 30, 2025 and December 31, 2024, respectively, and accumulated impairment losses of $194.1 million as of September 30, 2025 and December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Amortizing intangible assets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Non-amortizing intangible assets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Amortizing intangible assets include customer relationships, trademarks, acquired software and other as of September 30, 2025 and December 31, 2024.</w:t>
      </w:r>
    </w:p>
    <w:p>
      <w:pPr>
        <w:spacing w:after="0" w:line="113"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Non-amortizing intangible assets include trademarks as of September 30, 2025 and December 31, 2024.</w:t>
      </w:r>
    </w:p>
    <w:p>
      <w:pPr>
        <w:spacing w:after="0" w:line="14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We recorded amortization expense of $0.8 million and $2.9 million during the three and nine months ended September 30, 2025, respectively, and $1.1 million and $3.1 million for the three and nine months ended September 30,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5" w:lineRule="exact"/>
        <w:rPr>
          <w:sz w:val="20"/>
          <w:szCs w:val="20"/>
          <w:color w:val="auto"/>
        </w:rPr>
      </w:pPr>
    </w:p>
    <w:p>
      <w:pPr>
        <w:ind w:right="540" w:firstLine="486"/>
        <w:spacing w:after="0" w:line="261" w:lineRule="auto"/>
        <w:rPr>
          <w:sz w:val="20"/>
          <w:szCs w:val="20"/>
          <w:color w:val="auto"/>
        </w:rPr>
      </w:pPr>
      <w:r>
        <w:rPr>
          <w:rFonts w:ascii="Times New Roman" w:cs="Times New Roman" w:eastAsia="Times New Roman" w:hAnsi="Times New Roman"/>
          <w:sz w:val="18"/>
          <w:szCs w:val="18"/>
          <w:color w:val="auto"/>
        </w:rPr>
        <w:t>Long-term debt outstanding under our senior unsecured bank revolving credit facility (“Credit Facility”) was $510.0 million and there was no current portion as of September 30, 2025. The Company classified the borrowings under the Credit Facility as long-term debt in the accompanying Condensed Consolidated Balance Sheets, as we have the intent and unilateral ability to refinance any borrowings on a continuous basis through the maturity of the Credit Facility on November 21, 2027. There was no debt outstanding as of December 31, 2024.</w:t>
      </w:r>
    </w:p>
    <w:p>
      <w:pPr>
        <w:spacing w:after="0" w:line="12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credit agreement governing our Credit Facility has a revolving line of credit limit of $900.0 million and a maximum incremental facility of $300.0 million, subject to certain conditions. The Credit Facility was originally guaranteed by substantially all of our wholly owned domestic subsidiaries and was originally secured by a first priority security interest in substantially all of the assets of FTI Consulting and such domestic subsidiaries. In October 2024, the Company’s credit rating was upgraded to investment grade by S&amp;P Global. The upgraded rating triggered a Ratings Collateral Release Date under, and as defined in, the Credit Facility. Upon the occurrence of the Ratings Collateral Release Date, the security interests and liens previously granted to the lenders were automatically terminated and released, and the Credit Facility is now unsecured, with only unsecured guarantees being provided by substantially all of our wholly owned domestic subsidiaries.</w:t>
      </w:r>
    </w:p>
    <w:p>
      <w:pPr>
        <w:spacing w:after="0" w:line="13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Facility bear interest at a rate equal to, in the case of: (i) U.S. dollars (“USD”), at our option, Adjusted Term Secured Overnight Financing Rate (“SOFR”) or Adjusted Daily Simple SOFR, (ii) euros, Euro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Interbank Offered Rate, (iii) British pounds, Sterling Overnight Index Average Reference Rate, (iv) Australian dollars, Bank Bill Swap Reference Bid Rate,</w:t>
      </w:r>
    </w:p>
    <w:p>
      <w:pPr>
        <w:spacing w:after="0" w:line="27" w:lineRule="exact"/>
        <w:rPr>
          <w:sz w:val="20"/>
          <w:szCs w:val="20"/>
          <w:color w:val="auto"/>
        </w:rPr>
      </w:pPr>
    </w:p>
    <w:p>
      <w:pPr>
        <w:ind w:right="20" w:firstLine="8"/>
        <w:spacing w:after="0" w:line="25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Canadian Dollar Offered Rate, (vi) Swiss francs, Swiss Average Rate Overnight, and (vii) Japanese yen, Tokyo Interbank Offered Rate, in each case, plus an applicable margin that will fluctuate between 1.25% per annum and 2.00% per annum based upon the Company’s Consolidated Total Net Leverage Ratio (as defined in the Credit Facility) at such time or, in the case of USD borrowings, an alternative base rate plus an applicable margin that will fluctuate between 0.25% per annum and 1.00% per annum based upon the Company’s Consolidated Total Net Leverage Ratio at such time. The alternative base rate is a fluctuating rate per annum equal to the highest of (1) the Federal Funds rate plus the sum of 50 basis points, (2) the rate of interest in effect for such day as the prime rate announced by Bank of America, and (3) the one-month Term SOFR plus 100 basis points.</w:t>
      </w:r>
    </w:p>
    <w:p>
      <w:pPr>
        <w:spacing w:after="0" w:line="13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Under the Credit Facility, we are required to pay a commitment fee rate that fluctuates between 0.20% and 0.35% per annum and a letter of credit fee rate that fluctuates between 1.25% and 2.00% per annum, in each case, based upon the Company’s Consolidated Total Net Leverage Ratio.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lease office space and equipment under non-cancelable operating leases. The table below summarizes the carrying amount of our operating lease assets and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80" w:type="dxa"/>
            <w:vAlign w:val="bottom"/>
            <w:gridSpan w:val="2"/>
            <w:vMerge w:val="continue"/>
          </w:tcPr>
          <w:p>
            <w:pPr>
              <w:spacing w:after="0"/>
              <w:rPr>
                <w:sz w:val="15"/>
                <w:szCs w:val="15"/>
                <w:color w:val="auto"/>
              </w:rPr>
            </w:pPr>
          </w:p>
        </w:tc>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34,110</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208,036</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total lease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maturity analysis below summarizes the remaining future undiscounted cash flows for our operating leases and includes a reconciliation to operating lease liabilities reported on the 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9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8"/>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17"/>
                <w:szCs w:val="17"/>
                <w:color w:val="auto"/>
              </w:rPr>
              <w:t>(remaining)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126,721</w:t>
            </w:r>
          </w:p>
        </w:tc>
      </w:tr>
      <w:tr>
        <w:trPr>
          <w:trHeight w:val="223"/>
        </w:trPr>
        <w:tc>
          <w:tcPr>
            <w:tcW w:w="9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323,694</w:t>
            </w:r>
          </w:p>
        </w:tc>
      </w:tr>
      <w:tr>
        <w:trPr>
          <w:trHeight w:val="230"/>
        </w:trPr>
        <w:tc>
          <w:tcPr>
            <w:tcW w:w="9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(64,352)</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259,342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table below includes cash paid for our operating lease liabilities, other non-cash information, our weighted average remaining lease term and weighted average discount rate: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80" w:type="dxa"/>
            <w:vAlign w:val="bottom"/>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43,778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42,052</w:t>
            </w:r>
          </w:p>
        </w:tc>
      </w:tr>
      <w:tr>
        <w:trPr>
          <w:trHeight w:val="257"/>
        </w:trPr>
        <w:tc>
          <w:tcPr>
            <w:tcW w:w="8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22,627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22,865</w:t>
            </w:r>
          </w:p>
        </w:tc>
      </w:tr>
      <w:tr>
        <w:trPr>
          <w:trHeight w:val="257"/>
        </w:trPr>
        <w:tc>
          <w:tcPr>
            <w:tcW w:w="8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6"/>
        </w:trPr>
        <w:tc>
          <w:tcPr>
            <w:tcW w:w="80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three and nine months ended September 30, 2025, the Company recognized gain contingencies at the conclusion of certain legal actions. These amounts are included as a gain in “Selling, general and administrative (“SG&amp;A”) expenses” on our Condensed Consolidated Statements of Comprehensive Income.</w:t>
      </w:r>
    </w:p>
    <w:p>
      <w:pPr>
        <w:spacing w:after="0" w:line="1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the Company was contingently liable under bank guarantees issued in favor of third parties that totaled $19.1 million and $10.9 million, respectively. These bank guarantees primarily support bid and performance obligations and operating leases for office space. The amounts are guaranteed under guarantee facilities totaling $47.5 million and $42.7 million as of September 30, 2025 and December 31, 2024, respectively. The Company had $28.3 million and $31.8 million available under the guarantee facilities as of September 30, 2025 and December 31, 2024, respectively. These bank guarantees are issued separately from our Credit Facility and, as a result, do not affect available borrowing capacity under our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75"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2025, we granted equity awards of 119,483 restricted shares, 108,455 restricted stock units and 105,632 performance stock units under the FTI Consulting, Inc. 2017 Omnibus Incentive Compensation Plan, our employee equity compensation plan. Our performance stock units are presented at the maximum potential payout percentage of 150% of target shares granted. These awards are recorded as equity on the Condensed Consolidated Balance Sheets. During the nine months ended September 30, 2025, 34,335 shares of restricted stock and 5,453 restricted stock units were forfeited prior to the completion of the applicable vesting requirements. Additionally, 43,174 performance stock units were forfeited during the nine months ended September 30, 2025, including award targets that were not achieved.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net of forfeitures, is detailed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Repurchase Program</w:t>
      </w:r>
    </w:p>
    <w:p>
      <w:pPr>
        <w:spacing w:after="0" w:line="17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$400.0 million to an aggregate authorization of $1.7 billion on April 21, 2025. No time limit has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100"/>
        <w:spacing w:after="0" w:line="266" w:lineRule="auto"/>
        <w:rPr>
          <w:sz w:val="20"/>
          <w:szCs w:val="20"/>
          <w:color w:val="auto"/>
        </w:rPr>
      </w:pPr>
      <w:r>
        <w:rPr>
          <w:rFonts w:ascii="Times New Roman" w:cs="Times New Roman" w:eastAsia="Times New Roman" w:hAnsi="Times New Roman"/>
          <w:sz w:val="18"/>
          <w:szCs w:val="18"/>
          <w:color w:val="auto"/>
        </w:rPr>
        <w:t>been established for the completion of the Repurchase Program, and the Repurchase Program may be suspended, discontinued or replaced by the Board of Directors at any time without prior notice. As of September 30, 2025, we had $75.3 million available under the Repurchase Program to repurchase additional shares of our common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our stock repurchases under the Repurchase Program: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 and retired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price paid per share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00" w:type="dxa"/>
            <w:vAlign w:val="bottom"/>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excise tax of $2.3 million and $7.1 million incurred during the three and nine months ended September 30, 2025, respectively.</w:t>
      </w:r>
    </w:p>
    <w:p>
      <w:pPr>
        <w:spacing w:after="0" w:line="14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As we repurchase our common shares, we reduce stated capital on our Condensed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of retained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Common stock outstanding was approximately 31.3 million shares and 35.9 million shares as of September 30, 2025 and December 31, 2024, respectively. Common stock outstanding includes unvested restricted stock awards, which are considered issued and outstanding under the terms of the restricted stock award agreements. The decrease in common stock outstanding was primarily due to stock repurchases under the Repurchase Program during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manage our business in five reportable segments: Corporate Finance, FLC, Economic Consulting, Technology and Strategic Communications.</w:t>
      </w:r>
    </w:p>
    <w:p>
      <w:pPr>
        <w:spacing w:after="0" w:line="171"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6"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Our FLC segment provides law firms, companies, boards of directors, government entities, private equity firms and other interested parties with a multidisciplinary and independent range of services across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 which includes our cybersecurity and financial services-related offerings.</w:t>
      </w:r>
    </w:p>
    <w:p>
      <w:pPr>
        <w:spacing w:after="0" w:line="129" w:lineRule="exact"/>
        <w:rPr>
          <w:sz w:val="20"/>
          <w:szCs w:val="20"/>
          <w:color w:val="auto"/>
        </w:rPr>
      </w:pPr>
    </w:p>
    <w:p>
      <w:pPr>
        <w:jc w:val="both"/>
        <w:ind w:right="380" w:firstLine="486"/>
        <w:spacing w:after="0" w:line="261" w:lineRule="auto"/>
        <w:rPr>
          <w:sz w:val="20"/>
          <w:szCs w:val="20"/>
          <w:color w:val="auto"/>
        </w:rPr>
      </w:pPr>
      <w:r>
        <w:rPr>
          <w:rFonts w:ascii="Times New Roman" w:cs="Times New Roman" w:eastAsia="Times New Roman" w:hAnsi="Times New Roman"/>
          <w:sz w:val="18"/>
          <w:szCs w:val="18"/>
          <w:color w:val="auto"/>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6"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Our Technology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mergers &amp; acquisitions, restructuring and compliance and risk through three core offerings: Corporate Legal Department Consulting, E-discovery and Analytics Services and Expertise, and Information Governance, Privacy &amp; Security Services.</w:t>
      </w:r>
    </w:p>
    <w:p>
      <w:pPr>
        <w:spacing w:after="0" w:line="13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Strategic Communications segment develops and executes communications strategies to help management teams, boards of directors, law firms, governments and regulators manage change and mitigate risk surrounding transformational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right="300"/>
        <w:spacing w:after="0" w:line="282" w:lineRule="auto"/>
        <w:rPr>
          <w:sz w:val="20"/>
          <w:szCs w:val="20"/>
          <w:color w:val="auto"/>
        </w:rPr>
      </w:pPr>
      <w:r>
        <w:rPr>
          <w:rFonts w:ascii="Times New Roman" w:cs="Times New Roman" w:eastAsia="Times New Roman" w:hAnsi="Times New Roman"/>
          <w:sz w:val="18"/>
          <w:szCs w:val="18"/>
          <w:color w:val="auto"/>
        </w:rPr>
        <w:t>disruptive events, including transactions, investigations, disputes, crises, regulation and legislation. We deliver a wide range of services centered around three core offerings: Corporate Reputation, Financial Communications and Public Affairs.</w:t>
      </w:r>
    </w:p>
    <w:p>
      <w:pPr>
        <w:spacing w:after="0" w:line="10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uses gross profit (i) to evaluate reportable segment performance against budgets, forecasts and strategies and (ii) to make strategic decisions regarding resource allocation, such as billable headcount and related compensation costs, as well as utilization and bill rates of our service offerings. Our CODM is not provided asset information by reportable segment.</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summarize revenues, significant expenses and gross profit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80" w:type="dxa"/>
            <w:vAlign w:val="bottom"/>
          </w:tcPr>
          <w:p>
            <w:pPr>
              <w:spacing w:after="0"/>
              <w:rPr>
                <w:sz w:val="13"/>
                <w:szCs w:val="13"/>
                <w:color w:val="auto"/>
              </w:rPr>
            </w:pPr>
          </w:p>
        </w:tc>
        <w:tc>
          <w:tcPr>
            <w:tcW w:w="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0" w:type="dxa"/>
            <w:vAlign w:val="bottom"/>
          </w:tcPr>
          <w:p>
            <w:pPr>
              <w:spacing w:after="0"/>
              <w:rPr>
                <w:sz w:val="1"/>
                <w:szCs w:val="1"/>
                <w:color w:val="auto"/>
              </w:rPr>
            </w:pPr>
          </w:p>
        </w:tc>
      </w:tr>
      <w:tr>
        <w:trPr>
          <w:trHeight w:val="229"/>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560,661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77,572</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638,233</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3"/>
                <w:szCs w:val="23"/>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151,593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80" w:type="dxa"/>
            <w:vAlign w:val="bottom"/>
          </w:tcPr>
          <w:p>
            <w:pPr>
              <w:spacing w:after="0"/>
              <w:rPr>
                <w:sz w:val="24"/>
                <w:szCs w:val="24"/>
                <w:color w:val="auto"/>
              </w:rPr>
            </w:pPr>
          </w:p>
        </w:tc>
        <w:tc>
          <w:tcPr>
            <w:tcW w:w="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0" w:type="dxa"/>
            <w:vAlign w:val="bottom"/>
          </w:tcPr>
          <w:p>
            <w:pPr>
              <w:spacing w:after="0"/>
              <w:rPr>
                <w:sz w:val="1"/>
                <w:szCs w:val="1"/>
                <w:color w:val="auto"/>
              </w:rPr>
            </w:pPr>
          </w:p>
        </w:tc>
      </w:tr>
      <w:tr>
        <w:trPr>
          <w:trHeight w:val="229"/>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1,654,060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234,242</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1,888,302</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3"/>
                <w:szCs w:val="23"/>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909,809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80" w:type="dxa"/>
            <w:vAlign w:val="bottom"/>
          </w:tcPr>
          <w:p>
            <w:pPr>
              <w:spacing w:after="0"/>
              <w:rPr>
                <w:sz w:val="24"/>
                <w:szCs w:val="24"/>
                <w:color w:val="auto"/>
              </w:rPr>
            </w:pPr>
          </w:p>
        </w:tc>
        <w:tc>
          <w:tcPr>
            <w:tcW w:w="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926,019</w:t>
            </w:r>
          </w:p>
        </w:tc>
        <w:tc>
          <w:tcPr>
            <w:tcW w:w="0" w:type="dxa"/>
            <w:vAlign w:val="bottom"/>
          </w:tcPr>
          <w:p>
            <w:pPr>
              <w:spacing w:after="0"/>
              <w:rPr>
                <w:sz w:val="1"/>
                <w:szCs w:val="1"/>
                <w:color w:val="auto"/>
              </w:rPr>
            </w:pPr>
          </w:p>
        </w:tc>
      </w:tr>
      <w:tr>
        <w:trPr>
          <w:trHeight w:val="23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543,556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84,523</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628,079</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3"/>
                <w:szCs w:val="23"/>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80" w:type="dxa"/>
            <w:vAlign w:val="bottom"/>
          </w:tcPr>
          <w:p>
            <w:pPr>
              <w:spacing w:after="0"/>
              <w:rPr>
                <w:sz w:val="24"/>
                <w:szCs w:val="24"/>
                <w:color w:val="auto"/>
              </w:rPr>
            </w:pPr>
          </w:p>
        </w:tc>
        <w:tc>
          <w:tcPr>
            <w:tcW w:w="8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2,803,728</w:t>
            </w:r>
          </w:p>
        </w:tc>
        <w:tc>
          <w:tcPr>
            <w:tcW w:w="0" w:type="dxa"/>
            <w:vAlign w:val="bottom"/>
          </w:tcPr>
          <w:p>
            <w:pPr>
              <w:spacing w:after="0"/>
              <w:rPr>
                <w:sz w:val="1"/>
                <w:szCs w:val="1"/>
                <w:color w:val="auto"/>
              </w:rPr>
            </w:pPr>
          </w:p>
        </w:tc>
      </w:tr>
      <w:tr>
        <w:trPr>
          <w:trHeight w:val="23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1,639,263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252,599</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1,891,862</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3"/>
                <w:szCs w:val="23"/>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911,866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significant expense category and amounts align with the segment-level information that is regularly provided to the CODM.</w:t>
      </w:r>
    </w:p>
    <w:p>
      <w:pPr>
        <w:spacing w:after="0" w:line="171" w:lineRule="exact"/>
        <w:rPr>
          <w:sz w:val="20"/>
          <w:szCs w:val="20"/>
          <w:color w:val="auto"/>
        </w:rPr>
      </w:pPr>
    </w:p>
    <w:p>
      <w:pPr>
        <w:ind w:left="20" w:right="440" w:hanging="11"/>
        <w:spacing w:after="0" w:line="282" w:lineRule="auto"/>
        <w:rPr>
          <w:sz w:val="20"/>
          <w:szCs w:val="20"/>
          <w:color w:val="auto"/>
        </w:rPr>
      </w:pPr>
      <w:r>
        <w:rPr>
          <w:rFonts w:ascii="Times New Roman" w:cs="Times New Roman" w:eastAsia="Times New Roman" w:hAnsi="Times New Roman"/>
          <w:sz w:val="18"/>
          <w:szCs w:val="18"/>
          <w:color w:val="auto"/>
        </w:rPr>
        <w:t>Other segment items include expenses for contractor fees, depreciation and other costs. In our Technology segment, other segment items also include expenses related to software, licensing and data storage.</w:t>
      </w:r>
    </w:p>
    <w:p>
      <w:pPr>
        <w:spacing w:after="0" w:line="200" w:lineRule="exact"/>
        <w:rPr>
          <w:sz w:val="20"/>
          <w:szCs w:val="20"/>
          <w:color w:val="auto"/>
        </w:rPr>
      </w:pPr>
    </w:p>
    <w:p>
      <w:pPr>
        <w:sectPr>
          <w:pgSz w:w="11900" w:h="16838" w:orient="portrait"/>
          <w:cols w:equalWidth="0" w:num="2">
            <w:col w:w="140" w:space="500"/>
            <w:col w:w="10600"/>
          </w:cols>
          <w:pgMar w:left="320" w:top="89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ind w:left="660" w:right="40" w:hanging="652"/>
        <w:spacing w:after="0" w:line="23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internal cost recovery for work performed on corporate projects of $5.0 million and $12.9 million for the three and nine months ended September 30, 2025, respectively, and $4.3 million and $12.0 million for the three and nine months ended September 30, 2024, respectively. Costs associated with billable work performed on corporate projects are included in unallocated corporate expenses as SG&amp;A expenses in the Condensed Consolidated Statements of Comprehensive Income.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reconciles income before income tax provision to total segment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290,963</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614,100</w:t>
            </w:r>
          </w:p>
        </w:tc>
      </w:tr>
      <w:tr>
        <w:trPr>
          <w:trHeight w:val="223"/>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909,809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911,866</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8"/>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following is a discussion and analysis of our consolidated financial condition, results of operations, and liquidity and capital resources for the three and nine months ended September 30, 2025 and 2024, and significant factors that could affect our prospective financial condition and results of operations. This discussion should be read in conjunction with the accompanying unaudited condensed consolidated financial statements and related notes and with our Annual Report on Form 10-K for the year ended December 31, 2024 filed with the United States (“U.S.”) Securities and Exchange Commission (“SEC”). In addition to historical information, the following discussion includes forward-looking statements based on current expectations that involve risks, uncertainties and assumptions, such as our plans, objectives, expectations and intentions. Although we believe that the expectations reflected in the forward-looking statements contained herein are reasonable, these expectations or any of the forward-looking statements could prove to be incorrect, and actual results could differ materially from those projected or assumed in the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FTI Consulting, Inc., including its consolidated subsidiaries (collectively, the “Company,” “we,” “our” or “FTI Consulting”), is a global business advisory firm dedicated to helping organizations manage change, mitigate risk and resolve disputes: financial, legal, operational, political &amp; regulatory, reputational and transactional. Individually, each of our segments and practices is staffed with experts recognized for the depth of their knowledge and a track record of making an impact. Collectively, FTI Consulting offers a comprehensive suite of services designed to assist clients across the business cycle, from proactive risk management to rapid response to unexpected events and dynamic environments.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report financial results for the following five reportable segments:</w:t>
      </w:r>
    </w:p>
    <w:p>
      <w:pPr>
        <w:spacing w:after="0" w:line="167"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Corporate Finance &amp; Restructuring (“Corporate Finance”)</w:t>
      </w:r>
      <w:r>
        <w:rPr>
          <w:rFonts w:ascii="Times New Roman" w:cs="Times New Roman" w:eastAsia="Times New Roman" w:hAnsi="Times New Roman"/>
          <w:sz w:val="18"/>
          <w:szCs w:val="18"/>
          <w:color w:val="auto"/>
        </w:rPr>
        <w:t xml:space="preserv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2"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Forensic and Litigation Consulting (“FLC”)</w:t>
      </w:r>
      <w:r>
        <w:rPr>
          <w:rFonts w:ascii="Times New Roman" w:cs="Times New Roman" w:eastAsia="Times New Roman" w:hAnsi="Times New Roman"/>
          <w:sz w:val="18"/>
          <w:szCs w:val="18"/>
          <w:color w:val="auto"/>
        </w:rPr>
        <w:t xml:space="preserve"> segment provides law firms, companies, boards of directors, government entities, private equity firms and other interested parties with a multidisciplinary and independent range of services across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 which includes our cybersecurity and financial services-related offerings.</w:t>
      </w:r>
    </w:p>
    <w:p>
      <w:pPr>
        <w:spacing w:after="0" w:line="125" w:lineRule="exact"/>
        <w:rPr>
          <w:sz w:val="20"/>
          <w:szCs w:val="20"/>
          <w:color w:val="auto"/>
        </w:rPr>
      </w:pPr>
    </w:p>
    <w:p>
      <w:pPr>
        <w:ind w:right="28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Economic Consulting</w:t>
      </w:r>
      <w:r>
        <w:rPr>
          <w:rFonts w:ascii="Times New Roman" w:cs="Times New Roman" w:eastAsia="Times New Roman" w:hAnsi="Times New Roman"/>
          <w:sz w:val="18"/>
          <w:szCs w:val="18"/>
          <w:color w:val="auto"/>
        </w:rPr>
        <w:t xml:space="preserve">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2"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mergers &amp; acquisitions (“M&amp;A”), restructuring and compliance and risk through three core offerings: Corporate Legal Department Consulting, E-discovery and Analytics Services and Expertise, and Information Governance, Privacy &amp; Security Services.</w:t>
      </w:r>
    </w:p>
    <w:p>
      <w:pPr>
        <w:spacing w:after="0" w:line="128" w:lineRule="exact"/>
        <w:rPr>
          <w:sz w:val="20"/>
          <w:szCs w:val="20"/>
          <w:color w:val="auto"/>
        </w:rPr>
      </w:pPr>
    </w:p>
    <w:p>
      <w:pPr>
        <w:ind w:right="12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Strategic Communications</w:t>
      </w:r>
      <w:r>
        <w:rPr>
          <w:rFonts w:ascii="Times New Roman" w:cs="Times New Roman" w:eastAsia="Times New Roman" w:hAnsi="Times New Roman"/>
          <w:sz w:val="18"/>
          <w:szCs w:val="18"/>
          <w:color w:val="auto"/>
        </w:rPr>
        <w:t xml:space="preserve"> segment develops and executes communications strategies to help management teams, boards of directors, law firms, governments and regulators manage change and mitigate risk surrounding transformational and disruptive events, including transactions, investigations, disputes, crises,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 fee in exchange for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7" w:name="page18"/>
    <w:bookmarkEnd w:id="17"/>
    <w:p>
      <w:pPr>
        <w:ind w:right="200"/>
        <w:spacing w:after="0" w:line="277" w:lineRule="auto"/>
        <w:rPr>
          <w:sz w:val="20"/>
          <w:szCs w:val="20"/>
          <w:color w:val="auto"/>
        </w:rPr>
      </w:pPr>
      <w:r>
        <w:rPr>
          <w:rFonts w:ascii="Times New Roman" w:cs="Times New Roman" w:eastAsia="Times New Roman" w:hAnsi="Times New Roman"/>
          <w:sz w:val="17"/>
          <w:szCs w:val="17"/>
          <w:color w:val="auto"/>
        </w:rPr>
        <w:t>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 to the timing of when achieving the performance-based criteria becomes probable. Seasonal factors, such as the timing of our employees’ and clients’ vacations and holidays, may impact the timing of our revenue recognition across our segments.</w:t>
      </w:r>
    </w:p>
    <w:p>
      <w:pPr>
        <w:spacing w:after="0" w:line="11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results are primarily driven by:</w:t>
      </w:r>
    </w:p>
    <w:p>
      <w:pPr>
        <w:spacing w:after="0" w:line="171" w:lineRule="exact"/>
        <w:rPr>
          <w:sz w:val="20"/>
          <w:szCs w:val="20"/>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engagements we secure;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billable professionals;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rates of the billable professionals we employ;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hour or fixed charges we charge our clients for services;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billing and collection cycles;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locations of our clients or locations in which services are rendered.</w:t>
      </w:r>
    </w:p>
    <w:p>
      <w:pPr>
        <w:spacing w:after="0" w:line="17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define acquisition growth as revenues of acquired companies in the first 12 months following the effective date of an acquisition. When significant, we identify the impact of acquisition-related revenue growth.</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spacing w:after="0" w:line="126" w:lineRule="exact"/>
        <w:rPr>
          <w:sz w:val="20"/>
          <w:szCs w:val="20"/>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Segment Operating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17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have included the definition of Segment Operating Income (Loss), which is a GAAP financial measure, below in order to more fully define the components of certain non-GAAP financial measures in the accompanying analysis of financial information.</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18" w:name="page19"/>
    <w:bookmarkEnd w:id="18"/>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define Segment Operating Income (Loss) as a segment’s share of consolidated operating income. We define Total Segment Operating Income, which is a non-GAAP financial measure, as the total of Segment Operating Income (Loss) for all segments, which excludes unallocated corporate expenses. We use Segment Operating Income (Loss) for the purpose of 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spacing w:after="0" w:line="13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Therefore, we also believe that these non-GAAP financial measures, considered along with corresponding GAAP financial measures, provide management and investors with useful supplemental information.</w:t>
      </w:r>
    </w:p>
    <w:p>
      <w:pPr>
        <w:spacing w:after="0" w:line="13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33"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spacing w:after="0" w:line="12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Condensed Consolidated Statements of Comprehensive Income and Condensed Consolidated Statements of Cash Flows. Reconciliations of these non-GAAP financial measures to the most directly comparable GAAP financial measures are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80" w:type="dxa"/>
            <w:vAlign w:val="bottom"/>
          </w:tcPr>
          <w:p>
            <w:pPr>
              <w:spacing w:after="0"/>
              <w:rPr>
                <w:sz w:val="15"/>
                <w:szCs w:val="15"/>
                <w:color w:val="auto"/>
              </w:rPr>
            </w:pPr>
          </w:p>
        </w:tc>
        <w:tc>
          <w:tcPr>
            <w:tcW w:w="27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r>
      <w:tr>
        <w:trPr>
          <w:trHeight w:val="19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280" w:type="dxa"/>
            <w:vAlign w:val="bottom"/>
          </w:tcPr>
          <w:p>
            <w:pPr>
              <w:spacing w:after="0"/>
              <w:rPr>
                <w:sz w:val="16"/>
                <w:szCs w:val="16"/>
                <w:color w:val="auto"/>
              </w:rPr>
            </w:pPr>
          </w:p>
        </w:tc>
        <w:tc>
          <w:tcPr>
            <w:tcW w:w="27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r>
      <w:tr>
        <w:trPr>
          <w:trHeight w:val="23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926,019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2,803,728</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Special charges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230,378</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102,948</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329,942</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79,782</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9"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Excluded from non-GAAP financial measures, including Adjusted EBITDA and Adjusted EPS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Executive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September 30, 2025 increased $30.1 million, or 3.3%, compared to the three months ended September 30, 2024, which included a 1.1% estimated positive impact from FX. Excluding the estimated impact from FX, revenues increased $19.8 million, or 2.1%, compared to the three months ended September 30, 2024, due to higher revenues in our Corporate Finance, FLC and Strategic Communications segments, which was partially offset by lower revenues in our Economic Consulting and Technology segments</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income for the three months ended September 30, 2025 increased $16.4 million, or 24.6%, compared to the three months ended September 30,</w:t>
      </w:r>
    </w:p>
    <w:p>
      <w:pPr>
        <w:spacing w:after="0" w:line="27"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7"/>
          <w:szCs w:val="17"/>
          <w:color w:val="auto"/>
        </w:rPr>
        <w:t>2024. The increase in net income was primarily due to higher revenues, lower selling, general and administrative (“SG&amp;A”) expenses, and an FX remeasurement gain compared to a loss in the same quarter in the prior year. This was partially offset by an increase in direct costs, including higher variable compensation and forgivable loan amortization expenses, as well as a higher income tax provision and an increase in interest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increased $27.6 million, or 26.8%, compared to the three months ended September 30, 2024. Adjusted EBITDA Margin of 13.7% for the three months ended September 30, 2025 compared to 11.1% for the three months ended September 30, 2024. The increase in Adjusted EBITDA was primarily due to higher revenues and lower SG&amp;A expenses, which was partially offset by an increase in direct costs, including higher variable compensation and forgivable loan amortization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and Adjusted EPS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EPS for the three months ended September 30, 2025 increased $0.75 to $2.60 compared to $1.85 for the three months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EPS was primarily due to higher net income as described above, as well as a decrease in diluted weighted average shares outstanding.</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EPS was equal to EPS for the three months ended September 30,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Allocation</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September 30, 2025 decreased $17.5 million, or 8.0%, to $201.9 million compared to $219.4 million for the three months ended September 30, 2024. The decrease in net cash provided by operating activities was primarily due to lower cash collections and an increase in income tax payments, which was partially offset by lower operating expenses. Days sales outstanding (“DSO”) of 102 days at September 30, 2025 compared to 108 days at September 30, 2024.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Free Cash Flow was an inflow of $187.0 million and $212.3 million for the three months ended September 30, 2025 and 2024, respectively. The decrease in Free Cash Flow was primarily due to lower net cash provided by operating activities, as described above, and higher net cash used for purchases of property and equipment.</w:t>
      </w:r>
    </w:p>
    <w:p>
      <w:pPr>
        <w:spacing w:after="0" w:line="12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we made $234.2 million in payments for common stock repurchases under the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Legislation</w:t>
      </w:r>
    </w:p>
    <w:p>
      <w:pPr>
        <w:spacing w:after="0" w:line="17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is expected to have immaterial impacts on the current and future year cash flows and effective tax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includes the net headcount additions (reductions) by segment and in total for the nine months ended September 30,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Non-Billable</w:t>
            </w:r>
          </w:p>
        </w:tc>
        <w:tc>
          <w:tcPr>
            <w:tcW w:w="9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FLC</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Strategic</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6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020" w:type="dxa"/>
            <w:vAlign w:val="bottom"/>
            <w:gridSpan w:val="2"/>
            <w:vMerge w:val="continue"/>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7,907</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net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Percentage change in headcount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December 31, 2024</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86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Consolidated Operating Results: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32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9"/>
                <w:szCs w:val="19"/>
                <w:color w:val="auto"/>
              </w:rPr>
            </w:pPr>
          </w:p>
        </w:tc>
        <w:tc>
          <w:tcPr>
            <w:tcW w:w="32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404,896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1,127,780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1,055,493</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168,778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571,808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514,348</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657,454</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274,836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326,992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89,415</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279,083</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249,441</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956,167</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926,019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2,798,111</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2,803,728</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189,615</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89,697</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0" w:type="dxa"/>
            <w:vAlign w:val="bottom"/>
          </w:tcPr>
          <w:p>
            <w:pPr>
              <w:spacing w:after="0"/>
              <w:rPr>
                <w:sz w:val="1"/>
                <w:szCs w:val="1"/>
                <w:color w:val="auto"/>
              </w:rPr>
            </w:pPr>
          </w:p>
        </w:tc>
      </w:tr>
      <w:tr>
        <w:trPr>
          <w:trHeight w:val="223"/>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416,353</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(94,604)</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294,617</w:t>
            </w: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284,248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290,963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60,585</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230,378</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230,378</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60,585</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w:t>
            </w: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329,942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3"/>
        </w:trPr>
        <w:tc>
          <w:tcPr>
            <w:tcW w:w="482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20"/>
                <w:szCs w:val="20"/>
                <w:color w:val="auto"/>
              </w:rPr>
            </w:pPr>
          </w:p>
        </w:tc>
        <w:tc>
          <w:tcPr>
            <w:tcW w:w="290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82,818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40" w:type="dxa"/>
            <w:vAlign w:val="bottom"/>
            <w:tcBorders>
              <w:top w:val="single" w:sz="8" w:color="auto"/>
              <w:bottom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82,818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235,836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230,378</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EPS</w:t>
            </w: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940" w:type="dxa"/>
            <w:vAlign w:val="bottom"/>
          </w:tcPr>
          <w:p>
            <w:pPr>
              <w:jc w:val="right"/>
              <w:ind w:right="738"/>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w:t>
            </w:r>
          </w:p>
        </w:tc>
        <w:tc>
          <w:tcPr>
            <w:tcW w:w="94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6"/>
                <w:szCs w:val="16"/>
                <w:color w:val="auto"/>
              </w:rPr>
              <w:t>Weighted average number of common shares outstanding —</w:t>
            </w:r>
          </w:p>
        </w:tc>
        <w:tc>
          <w:tcPr>
            <w:tcW w:w="94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31,823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(Used in) Operating Activities to Free Cash Flow: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r>
      <w:tr>
        <w:trPr>
          <w:trHeight w:val="23"/>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201,893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219,374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(207,624)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center"/>
              <w:ind w:left="215"/>
              <w:spacing w:after="0"/>
              <w:rPr>
                <w:sz w:val="20"/>
                <w:szCs w:val="20"/>
                <w:color w:val="auto"/>
              </w:rPr>
            </w:pPr>
            <w:r>
              <w:rPr>
                <w:rFonts w:ascii="Times New Roman" w:cs="Times New Roman" w:eastAsia="Times New Roman" w:hAnsi="Times New Roman"/>
                <w:sz w:val="18"/>
                <w:szCs w:val="18"/>
                <w:color w:val="auto"/>
                <w:w w:val="96"/>
              </w:rPr>
              <w:t>79,782</w:t>
            </w:r>
          </w:p>
        </w:tc>
      </w:tr>
      <w:tr>
        <w:trPr>
          <w:trHeight w:val="230"/>
        </w:trPr>
        <w:tc>
          <w:tcPr>
            <w:tcW w:w="5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rPr>
              <w:t>(21,748)</w:t>
            </w:r>
          </w:p>
        </w:tc>
      </w:tr>
      <w:tr>
        <w:trPr>
          <w:trHeight w:val="248"/>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186,979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212,327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(257,766)</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center"/>
              <w:ind w:left="215"/>
              <w:spacing w:after="0"/>
              <w:rPr>
                <w:sz w:val="20"/>
                <w:szCs w:val="20"/>
                <w:color w:val="auto"/>
              </w:rPr>
            </w:pPr>
            <w:r>
              <w:rPr>
                <w:rFonts w:ascii="Times New Roman" w:cs="Times New Roman" w:eastAsia="Times New Roman" w:hAnsi="Times New Roman"/>
                <w:sz w:val="18"/>
                <w:szCs w:val="18"/>
                <w:color w:val="auto"/>
                <w:w w:val="96"/>
              </w:rPr>
              <w:t>58,034</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$4.3 million, or 10.8%, to $35.1 million for the three months ended September 30, 2025, primarily due to lower compensation expenses, which was partially offset by higher expenses for corporate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7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increased $2.6 million to a $1.7 million gain for the three months ended September 30, 2025 compared to a $0.9 million loss for the three months ended September 30, 2024. The increase was primarily due to a $0.6 million FX gain for the three months ended September 30, 2025 compared to a $2.5 million FX loss for the three months ended September 30, 2024.</w:t>
      </w:r>
    </w:p>
    <w:p>
      <w:pPr>
        <w:spacing w:after="0" w:line="12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580" w:firstLine="486"/>
        <w:spacing w:after="0" w:line="312" w:lineRule="auto"/>
        <w:rPr>
          <w:sz w:val="20"/>
          <w:szCs w:val="20"/>
          <w:color w:val="auto"/>
        </w:rPr>
      </w:pPr>
      <w:r>
        <w:rPr>
          <w:rFonts w:ascii="Times New Roman" w:cs="Times New Roman" w:eastAsia="Times New Roman" w:hAnsi="Times New Roman"/>
          <w:sz w:val="17"/>
          <w:szCs w:val="17"/>
          <w:color w:val="auto"/>
        </w:rPr>
        <w:t>Interest expense increased $6.4 million to $7.6 million for the three months ended September 30, 2025 compared to $1.2 million for the three months ended September 30, 2024, primarily due to higher borrowings on our senior unsecured bank revolving credit facility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income tax provision increased $6.6 million, or 29.5%, to $28.9 million for the three months ended September 30, 2025 compared to $22.3 million for the three months ended September 30, 2024. Our effective tax rate of 25.9% for the three months ended September 30, 2025 compared to 25.1% for the three months ended September 30, 2024. The increase in the income tax provision was primarily due to an increase in income before income tax provision as compared to the three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$27.1 million, or 22.3%, to $94.6 million for the nine months ended September 30, 2025, primarily due to legal settlement gains and lower compensation expenses, which was partially offset by higher expenses for corporate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75"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$0.1 million, or 4.5%, to $2.5 million for the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$7.6 million, or 122.3%, to $13.9 million for the nine months ended September 30, 2025, primarily due to higher borrowings on our Credit Facility, which was partially offset by lower interest rates on our borrowings.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income tax provision increased $7.3 million, or 12.1%, to $67.9 million for the nine months ended September 30, 2025 compared to $60.6 million for the nine months ended September 30, 2024. Our effective tax rate of 23.9% for the nine months ended September 30, 2025 compared to 20.8% for the nine months ended September 30, 2024. The increase in the income tax provision was primarily due to a higher effective tax rate, which was partially offset by a decrease in income before income tax provision. The effective tax rate for the nine months ended September 30, 2025 was impacted by a less favorable tax benefit related to share-based compensation, as a smaller number of non-qualified stock options were exercised compared to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EBITDA</w:t>
      </w:r>
    </w:p>
    <w:p>
      <w:pPr>
        <w:spacing w:after="0" w:line="17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evaluate the performance of each of our operating segments based on multiple measures of segment profit, including Adjusted Segment EBITDA, which is a non-GAAP financial measure. The following tables reconcile Segment Operating Income (Loss) to Adjusted Segment EBITDA for the three and nine months ended September 30, 2025 and 2024:</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FLC</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14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40" w:type="dxa"/>
            <w:vAlign w:val="bottom"/>
            <w:vMerge w:val="continue"/>
          </w:tcPr>
          <w:p>
            <w:pPr>
              <w:spacing w:after="0"/>
              <w:rPr>
                <w:sz w:val="16"/>
                <w:szCs w:val="16"/>
                <w:color w:val="auto"/>
              </w:rPr>
            </w:pP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10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Income tax provision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p>
      <w:pPr>
        <w:spacing w:after="0" w:line="34" w:lineRule="exact"/>
        <w:rPr>
          <w:sz w:val="20"/>
          <w:szCs w:val="20"/>
          <w:color w:val="auto"/>
        </w:rPr>
      </w:pPr>
    </w:p>
    <w:p>
      <w:pPr>
        <w:ind w:left="220"/>
        <w:spacing w:after="0" w:line="306" w:lineRule="auto"/>
        <w:rPr>
          <w:sz w:val="20"/>
          <w:szCs w:val="20"/>
          <w:color w:val="auto"/>
        </w:rPr>
      </w:pPr>
      <w:r>
        <w:rPr>
          <w:rFonts w:ascii="Times New Roman" w:cs="Times New Roman" w:eastAsia="Times New Roman" w:hAnsi="Times New Roman"/>
          <w:sz w:val="16"/>
          <w:szCs w:val="16"/>
          <w:color w:val="auto"/>
        </w:rPr>
        <w:t>Depreciation of property and equipment Amortization of intangible assets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28,910</w:t>
            </w:r>
          </w:p>
        </w:tc>
        <w:tc>
          <w:tcPr>
            <w:tcW w:w="0" w:type="dxa"/>
            <w:vAlign w:val="bottom"/>
          </w:tcPr>
          <w:p>
            <w:pPr>
              <w:spacing w:after="0"/>
              <w:rPr>
                <w:sz w:val="1"/>
                <w:szCs w:val="1"/>
                <w:color w:val="auto"/>
              </w:rPr>
            </w:pPr>
          </w:p>
        </w:tc>
      </w:tr>
      <w:tr>
        <w:trPr>
          <w:trHeight w:val="210"/>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96,413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16,909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130,573</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-1227455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-953135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-670560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20" w:space="660"/>
            <w:col w:w="7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67,908</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295,641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25,295</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48,293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357,377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66,466</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90,892</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57,919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102,948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230,378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6,235</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60,585</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294,617</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199,611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36,161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329,942</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Total Adjusted Segment EBITDA</w:t>
      </w:r>
    </w:p>
    <w:p>
      <w:pPr>
        <w:spacing w:after="0" w:line="1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three and nine months ended September 30,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216,340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230,378</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60,585</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30"/>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29"/>
        </w:trPr>
        <w:tc>
          <w:tcPr>
            <w:tcW w:w="48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94,604</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121,736</w:t>
            </w:r>
          </w:p>
        </w:tc>
      </w:tr>
      <w:tr>
        <w:trPr>
          <w:trHeight w:val="223"/>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152,741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390,245</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416,353</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w:t>
            </w: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Adjusted Segment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448,204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450,132</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Operating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billable professionals (at period end):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billable professionals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Utilization rates of billable professionals: </w:t>
            </w:r>
            <w:r>
              <w:rPr>
                <w:rFonts w:ascii="Times New Roman" w:cs="Times New Roman" w:eastAsia="Times New Roman" w:hAnsi="Times New Roman"/>
                <w:sz w:val="23"/>
                <w:szCs w:val="23"/>
                <w:color w:val="auto"/>
                <w:vertAlign w:val="superscript"/>
              </w:rPr>
              <w:t>(2)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Average billable rate per hour: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60" w:hanging="11"/>
        <w:spacing w:after="0" w:line="266" w:lineRule="auto"/>
        <w:rPr>
          <w:sz w:val="20"/>
          <w:szCs w:val="20"/>
          <w:color w:val="auto"/>
        </w:rPr>
      </w:pPr>
      <w:r>
        <w:rPr>
          <w:rFonts w:ascii="Times New Roman" w:cs="Times New Roman" w:eastAsia="Times New Roman" w:hAnsi="Times New Roman"/>
          <w:sz w:val="18"/>
          <w:szCs w:val="18"/>
          <w:color w:val="auto"/>
        </w:rPr>
        <w:t>The number of billable professionals for the Technology segment excludes as-needed professionals, who we employ based on demand for the segment’s services. We employed an average of 648 and 855 as-needed employees during the three months ended September 30, 2025 and 2024, respectively.</w:t>
      </w:r>
    </w:p>
    <w:p>
      <w:pPr>
        <w:spacing w:after="0" w:line="122" w:lineRule="exact"/>
        <w:rPr>
          <w:sz w:val="20"/>
          <w:szCs w:val="20"/>
          <w:color w:val="auto"/>
        </w:rPr>
      </w:pPr>
    </w:p>
    <w:p>
      <w:pPr>
        <w:ind w:right="20" w:hanging="11"/>
        <w:spacing w:after="0" w:line="256" w:lineRule="auto"/>
        <w:rPr>
          <w:sz w:val="20"/>
          <w:szCs w:val="20"/>
          <w:color w:val="auto"/>
        </w:rPr>
      </w:pPr>
      <w:r>
        <w:rPr>
          <w:rFonts w:ascii="Times New Roman" w:cs="Times New Roman" w:eastAsia="Times New Roman" w:hAnsi="Times New Roman"/>
          <w:sz w:val="18"/>
          <w:szCs w:val="18"/>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local country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spacing w:after="0" w:line="133" w:lineRule="exact"/>
        <w:rPr>
          <w:sz w:val="20"/>
          <w:szCs w:val="20"/>
          <w:color w:val="auto"/>
        </w:rPr>
      </w:pPr>
    </w:p>
    <w:p>
      <w:pPr>
        <w:ind w:right="40" w:hanging="11"/>
        <w:spacing w:after="0" w:line="261" w:lineRule="auto"/>
        <w:rPr>
          <w:sz w:val="20"/>
          <w:szCs w:val="20"/>
          <w:color w:val="auto"/>
        </w:rPr>
      </w:pPr>
      <w:r>
        <w:rPr>
          <w:rFonts w:ascii="Times New Roman" w:cs="Times New Roman" w:eastAsia="Times New Roman" w:hAnsi="Times New Roman"/>
          <w:sz w:val="18"/>
          <w:szCs w:val="18"/>
          <w:color w:val="auto"/>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pacing w:after="0" w:line="200" w:lineRule="exact"/>
        <w:rPr>
          <w:sz w:val="20"/>
          <w:szCs w:val="20"/>
          <w:color w:val="auto"/>
        </w:rPr>
      </w:pPr>
    </w:p>
    <w:p>
      <w:pPr>
        <w:sectPr>
          <w:pgSz w:w="11900" w:h="16838" w:orient="portrait"/>
          <w:cols w:equalWidth="0" w:num="2">
            <w:col w:w="140" w:space="520"/>
            <w:col w:w="10580"/>
          </w:cols>
          <w:pgMar w:left="320" w:top="887"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CORPORATE FINANCE &amp; RESTRUCTURING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2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5"/>
                <w:szCs w:val="15"/>
                <w:color w:val="auto"/>
              </w:rPr>
            </w:pPr>
          </w:p>
        </w:tc>
        <w:tc>
          <w:tcPr>
            <w:tcW w:w="282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195"/>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except rate per hour)</w:t>
            </w:r>
          </w:p>
        </w:tc>
      </w:tr>
      <w:tr>
        <w:trPr>
          <w:trHeight w:val="23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404,896</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341,512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1,127,780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1,055,493</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253,303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231,958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731,026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701,717</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58,157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161,829</w:t>
            </w: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2,332</w:t>
            </w:r>
          </w:p>
        </w:tc>
      </w:tr>
      <w:tr>
        <w:trPr>
          <w:trHeight w:val="223"/>
        </w:trPr>
        <w:tc>
          <w:tcPr>
            <w:tcW w:w="4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311,943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287,009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915,749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865,878</w:t>
            </w:r>
          </w:p>
        </w:tc>
      </w:tr>
      <w:tr>
        <w:trPr>
          <w:trHeight w:val="223"/>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92,953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54,503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189,615</w:t>
            </w:r>
          </w:p>
        </w:tc>
      </w:tr>
      <w:tr>
        <w:trPr>
          <w:trHeight w:val="176"/>
        </w:trPr>
        <w:tc>
          <w:tcPr>
            <w:tcW w:w="494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9,996</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96,413</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57,919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234,012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199,611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151,593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396,754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353,776</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2,295</w:t>
            </w:r>
          </w:p>
        </w:tc>
      </w:tr>
      <w:tr>
        <w:trPr>
          <w:trHeight w:val="175"/>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$63.4 million, or 18.6%, to $404.9 million for the three months ended September 30, 2025, primarily due to higher demand for our restructuring and transactions services and higher realized bill rates for our transformation &amp; strategy services.</w:t>
      </w:r>
    </w:p>
    <w:p>
      <w:pPr>
        <w:spacing w:after="0" w:line="108"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$42.0 million, or 38.4%, to $151.6 million for the three months ended September 30, 2025. Gross profit margin increased 5.4 percentage points for the three months ended September 30, 2025. The increase in gross profit margin was primarily due to a 6 percentage point increase in utilization and higher realized bill rates.</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$3.9 million, or 7.2%, to $58.2 million for the three months ended September 30, 2025, which included a 1.3% estimated negative impact from FX. SG&amp;A expenses of 14.4% of revenues for the three months ended September 30, 2025 compared to 15.9% of revenues for the three months ended September 30, 2024. The increase in SG&amp;A expenses was primarily due to higher bad debt, outside services, and computer hardware and software expenses, which was partially offset by lower compensation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$72.3 million, or 6.8%, to $1,127.8 million for the nine months ended September 30, 2025, primarily due to higher demand for our restructuring and transaction services and higher realized bill rates for our transformation &amp; strategy and transactions services, which was partially offset by lower demand for our transformation &amp; strategy services.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ind w:left="100" w:right="140" w:firstLine="486"/>
        <w:spacing w:after="0" w:line="282" w:lineRule="auto"/>
        <w:rPr>
          <w:sz w:val="20"/>
          <w:szCs w:val="20"/>
          <w:color w:val="auto"/>
        </w:rPr>
      </w:pPr>
      <w:r>
        <w:rPr>
          <w:rFonts w:ascii="Times New Roman" w:cs="Times New Roman" w:eastAsia="Times New Roman" w:hAnsi="Times New Roman"/>
          <w:sz w:val="18"/>
          <w:szCs w:val="18"/>
          <w:color w:val="auto"/>
        </w:rPr>
        <w:t>Gross profit increased $43.0 million, or 12.1%, to $396.8 million for the nine months ended September 30, 2025. Gross profit margin increased 1.7 percentage points for the nine months ended September 30, 2025. The increase in gross profit margin was primarily due to higher realized bill rates.</w:t>
      </w:r>
    </w:p>
    <w:p>
      <w:pPr>
        <w:spacing w:after="0" w:line="108" w:lineRule="exact"/>
        <w:rPr>
          <w:sz w:val="20"/>
          <w:szCs w:val="20"/>
          <w:color w:val="auto"/>
        </w:rPr>
      </w:pPr>
    </w:p>
    <w:p>
      <w:pPr>
        <w:ind w:left="100" w:right="4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$9.2 million, or 5.7%, to $171.1 million for the nine months ended September 30, 2025. SG&amp;A expenses of 15.2% of revenues for the nine months ended September 30, 2025 compared to 15.3% of revenues for the nine months ended September 30, 2024. The increase in SG&amp;A expenses was primarily due to higher infrastructure support, outside services, business development, and other general and administrative expenses, which was partially offset by lower compensation expenses.</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FORENSIC AND LITIGATION CONSULTING</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7"/>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r>
      <w:tr>
        <w:trPr>
          <w:trHeight w:val="19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194,689</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168,778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571,808</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514,348</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120,274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358,995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345,818</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33,726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107,015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104,736</w:t>
            </w: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5,475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4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154,229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150,660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472,171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451,163</w:t>
            </w:r>
          </w:p>
        </w:tc>
      </w:tr>
      <w:tr>
        <w:trPr>
          <w:trHeight w:val="223"/>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40,460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99,637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63,185</w:t>
            </w:r>
          </w:p>
        </w:tc>
      </w:tr>
      <w:tr>
        <w:trPr>
          <w:trHeight w:val="175"/>
        </w:trPr>
        <w:tc>
          <w:tcPr>
            <w:tcW w:w="498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6,215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5,509</w:t>
            </w:r>
          </w:p>
        </w:tc>
      </w:tr>
      <w:tr>
        <w:trPr>
          <w:trHeight w:val="22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42,616</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19,991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111,327</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68,694</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74,415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212,813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168,530</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1,529</w:t>
            </w:r>
          </w:p>
        </w:tc>
      </w:tr>
      <w:tr>
        <w:trPr>
          <w:trHeight w:val="175"/>
        </w:trPr>
        <w:tc>
          <w:tcPr>
            <w:tcW w:w="4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211455</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240" w:space="500"/>
            <w:col w:w="10600"/>
          </w:cols>
          <w:pgMar w:left="220" w:top="89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5" w:lineRule="exact"/>
        <w:rPr>
          <w:sz w:val="20"/>
          <w:szCs w:val="20"/>
          <w:color w:val="auto"/>
        </w:rPr>
      </w:pPr>
    </w:p>
    <w:p>
      <w:pPr>
        <w:ind w:left="100" w:right="100" w:firstLine="486"/>
        <w:spacing w:after="0" w:line="282" w:lineRule="auto"/>
        <w:rPr>
          <w:sz w:val="20"/>
          <w:szCs w:val="20"/>
          <w:color w:val="auto"/>
        </w:rPr>
      </w:pPr>
      <w:r>
        <w:rPr>
          <w:rFonts w:ascii="Times New Roman" w:cs="Times New Roman" w:eastAsia="Times New Roman" w:hAnsi="Times New Roman"/>
          <w:sz w:val="18"/>
          <w:szCs w:val="18"/>
          <w:color w:val="auto"/>
        </w:rPr>
        <w:t>Revenues increased $25.9 million, or 15.4%, to $194.7 million for the three months ended September 30, 2025, primarily due to higher realized bill rates for our risk and investigations, data &amp; analytics and construction solutions services and higher demand for our risk and investigations services.</w:t>
      </w:r>
    </w:p>
    <w:p>
      <w:pPr>
        <w:spacing w:after="0" w:line="108" w:lineRule="exact"/>
        <w:rPr>
          <w:sz w:val="20"/>
          <w:szCs w:val="20"/>
          <w:color w:val="auto"/>
        </w:rPr>
      </w:pPr>
    </w:p>
    <w:p>
      <w:pPr>
        <w:ind w:left="100" w:right="2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$19.1 million, or 34.6%, to $74.4 million for the three months ended September 30, 2025. Gross profit margin increased 5.5 percentage points for the three months ended September 30, 2025. The increase in gross profit margin was primarily due to higher realized bill rates and a 3 percentage point increase in utilization.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91" w:right="339" w:bottom="1440" w:gutter="0" w:footer="0" w:header="0"/>
          <w:type w:val="continuous"/>
        </w:sectPr>
      </w:pPr>
    </w:p>
    <w:bookmarkStart w:id="29" w:name="page30"/>
    <w:bookmarkEnd w:id="2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SG&amp;A expenses decreased $3.2 million, or 8.7%, to $33.7 million for the three months ended September 30, 2025. SG&amp;A expenses were 17.3% of revenues for the three months ended September 30, 2025 compared to 21.9% of revenues for the three months ended September 30, 2024. The decrease in SG&amp;A expenses was primarily due to the recognition of a gain contingency.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jc w:val="both"/>
        <w:ind w:right="40" w:firstLine="486"/>
        <w:spacing w:after="0" w:line="312" w:lineRule="auto"/>
        <w:rPr>
          <w:sz w:val="20"/>
          <w:szCs w:val="20"/>
          <w:color w:val="auto"/>
        </w:rPr>
      </w:pPr>
      <w:r>
        <w:rPr>
          <w:rFonts w:ascii="Times New Roman" w:cs="Times New Roman" w:eastAsia="Times New Roman" w:hAnsi="Times New Roman"/>
          <w:sz w:val="17"/>
          <w:szCs w:val="17"/>
          <w:color w:val="auto"/>
        </w:rPr>
        <w:t>Revenues increased $57.5 million, or 11.2%, to $571.8 million for the nine months ended September 30, 2025, primarily due to higher realized bill rates for our risk and investigations, data &amp; analytics and construction solution services, as well as higher demand for our risk and investigations services.</w:t>
      </w:r>
    </w:p>
    <w:p>
      <w:pPr>
        <w:spacing w:after="0" w:line="8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Gross profit increased $44.3 million, or 26.3%, to $212.8 million for the nine months ended September 30, 2025. Gross profit margin increased 4.5 percentage points for the nine months ended September 30, 2025. The increase in gross profit margin was primarily due to higher realized bill rates.</w:t>
      </w:r>
    </w:p>
    <w:p>
      <w:pPr>
        <w:spacing w:after="0" w:line="10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$2.3 million, or 2.2%, to $107.0 million for the nine months ended September 30, 2025. SG&amp;A expenses of 18.7% of revenues for the nine months ended September 30, 2025 compared to 20.4% of revenues for the nine months ended September 30, 2024. The increase in SG&amp;A expenses was primarily due to higher compensation, infrastructure support and other general and administrative expenses, which was partially offset by the recognition of a gain contingency.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ECONOMIC CONSULTING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222,033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544,604</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657,454</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147,197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435,485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476,672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31,712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89,063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91,085</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178,909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188,153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525,531</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567,757</w:t>
            </w:r>
          </w:p>
        </w:tc>
        <w:tc>
          <w:tcPr>
            <w:tcW w:w="0" w:type="dxa"/>
            <w:vAlign w:val="bottom"/>
          </w:tcPr>
          <w:p>
            <w:pPr>
              <w:spacing w:after="0"/>
              <w:rPr>
                <w:sz w:val="1"/>
                <w:szCs w:val="1"/>
                <w:color w:val="auto"/>
              </w:rPr>
            </w:pP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19,073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89,697</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(loss) from prior year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93,690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25,889</w:t>
            </w:r>
          </w:p>
        </w:tc>
        <w:tc>
          <w:tcPr>
            <w:tcW w:w="100" w:type="dxa"/>
            <w:vAlign w:val="bottom"/>
          </w:tcPr>
          <w:p>
            <w:pPr>
              <w:spacing w:after="0"/>
              <w:rPr>
                <w:sz w:val="17"/>
                <w:szCs w:val="17"/>
                <w:color w:val="auto"/>
              </w:rPr>
            </w:pPr>
          </w:p>
        </w:tc>
        <w:tc>
          <w:tcPr>
            <w:tcW w:w="600" w:type="dxa"/>
            <w:vAlign w:val="bottom"/>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63,840</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109,119</w:t>
            </w:r>
          </w:p>
        </w:tc>
        <w:tc>
          <w:tcPr>
            <w:tcW w:w="120" w:type="dxa"/>
            <w:vAlign w:val="bottom"/>
          </w:tcPr>
          <w:p>
            <w:pPr>
              <w:spacing w:after="0"/>
              <w:rPr>
                <w:sz w:val="17"/>
                <w:szCs w:val="17"/>
                <w:color w:val="auto"/>
              </w:rPr>
            </w:pPr>
          </w:p>
        </w:tc>
        <w:tc>
          <w:tcPr>
            <w:tcW w:w="6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180,782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Revenues decreased $48.9 million, or 22.0%, to $173.1 million for the three months ended September 30, 2025, which included a 1.5% estimated positive impact from FX. Excluding the estimated impact from FX, revenues decreased $52.2 million or 23.5%. The decrease in revenues was primarily due to lower demand for our non-M&amp;A-related antitrust and M&amp;A-related antitrust services, which was partially offset by higher realized bill rates for our non-M&amp;A-related antitrust services and higher demand for our financial economics services.</w:t>
      </w:r>
    </w:p>
    <w:p>
      <w:pPr>
        <w:spacing w:after="0" w:line="12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Gross profit decreased $38.0 million, or 59.4%, to $25.9 million for the three months ended September 30, 2025. Gross profit margin decreased 13.8 percentage points for the three months ended September 30, 2025. The decrease in gross profit margin was primarily due to a 10 percentage point decline in utilization and higher forgivable loan amortization expenses, which was partially offset by higher realized bill rates for our non-M&amp;A-related antitrust services and lower compensation expenses, including the impact of an 8.2% decline in billable headcount.</w:t>
      </w:r>
    </w:p>
    <w:p>
      <w:pPr>
        <w:spacing w:after="0" w:line="126"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$1.8 million, or 5.8%, to $31.7 million for the three months ended September 30, 2025, which included a 2.0% estimated negative impact from FX. SG&amp;A expenses were 18.3% of revenues for the three months ended September 30, 2025 compared to 13.5% of revenues for the three months ended September 30, 2024. The increase in SG&amp;A expenses was primarily driven by higher bad debt expenses, which was partially offset by lower infrastructure support, compensation,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Revenues decreased $112.9 million, or 17.2%, to $544.6 million for the nine months ended September 30, 2025, which included a 1.0% estimated positive impact from FX. Excluding the estimated impact from FX, revenues decreased $119.3 million or 18.2%. The decrease in revenues was primarily due to lower demand for our M&amp;A-related antitrust and non-M&amp;A-related antitrust services, which was partially offset by higher realized bill rates for our M&amp;A-related antitrust and non-M&amp;A-related antitrust services, as well as higher demand for our financial economics services.</w:t>
      </w:r>
    </w:p>
    <w:p>
      <w:pPr>
        <w:spacing w:after="0" w:line="12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Gross profit decreased $71.7 million, or 39.6%, to $109.1 million for the nine months ended September 30, 2025. Gross profit margin decreased 7.5 percentage points for the nine months ended September 30, 2025. The decrease in gross profit margin was primarily due to an 8 percentage point decrease in utilization and higher forgivable loan amortization expenses, which was partially offset by higher realized bill rates for our M&amp;A-related antitrust and non-M&amp;A-related antitrust services and lower compensation expenses, including the impact of an 8.2% decline in billable headcount.</w:t>
      </w:r>
    </w:p>
    <w:p>
      <w:pPr>
        <w:spacing w:after="0" w:line="12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SG&amp;A expenses decreased $2.0 million, or 2.2%, to $89.1 million for the nine months ended September 30, 2025, which included a 1.3% estimated negative impact from FX. SG&amp;A expenses of 16.4% of revenues for the nine months ended September 30, 2025 compared to 13.9% of revenues for the nine months ended September 30, 2024. The decrease in SG&amp;A expenses was primarily driven by lower bad debt and other general and administrative expenses, which was partially offset by higher outside services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7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94,081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110,404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326,992</w:t>
            </w:r>
          </w:p>
        </w:tc>
        <w:tc>
          <w:tcPr>
            <w:tcW w:w="0" w:type="dxa"/>
            <w:vAlign w:val="bottom"/>
          </w:tcPr>
          <w:p>
            <w:pPr>
              <w:spacing w:after="0"/>
              <w:rPr>
                <w:sz w:val="1"/>
                <w:szCs w:val="1"/>
                <w:color w:val="auto"/>
              </w:rPr>
            </w:pP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62,162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185,284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208,096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22,633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78,296</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84,795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97,880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257,396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286,392</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51,976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31,919</w:t>
            </w:r>
          </w:p>
        </w:tc>
        <w:tc>
          <w:tcPr>
            <w:tcW w:w="12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38,827</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89,552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118,896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billable professionals (at period end) </w:t>
            </w:r>
            <w:r>
              <w:rPr>
                <w:rFonts w:ascii="Times New Roman" w:cs="Times New Roman" w:eastAsia="Times New Roman" w:hAnsi="Times New Roman"/>
                <w:sz w:val="10"/>
                <w:szCs w:val="10"/>
                <w:color w:val="auto"/>
              </w:rPr>
              <w:t>(3)</w:t>
            </w:r>
          </w:p>
        </w:tc>
        <w:tc>
          <w:tcPr>
            <w:tcW w:w="2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personnel involved in direct client assistance and billable consultants and excludes professionals employed on an as-needed basis</w:t>
      </w:r>
    </w:p>
    <w:p>
      <w:pPr>
        <w:spacing w:after="0" w:line="200"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5"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Revenues decreased $16.3 million, or 14.8%, to $94.1 million for the three months ended September 30, 2025, which included a 1.0% estimated positive impact from FX. Excluding the estimated impact from FX, revenues decreased $17.4 million or 15.8%. The decrease in revenues was primarily due to lower demand for our M&amp;A-related “second request” and information governance, privacy &amp; security services.</w:t>
      </w:r>
    </w:p>
    <w:p>
      <w:pPr>
        <w:spacing w:after="0" w:line="12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$6.9 million, or 17.8%, to $31.9 million for the three months ended September 30, 2025. Gross profit margin decreased 1.2 percentage points for the three months ended September 30, 2025. The decrease in gross profit margin was primarily due to lower profitability for our processing and hosting services, which was partially offset by higher profitability for our consulting and managed review services.</w:t>
      </w:r>
    </w:p>
    <w:p>
      <w:pPr>
        <w:spacing w:after="0" w:line="12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SG&amp;A expenses decreased $3.7 million, or 14.0%, to $22.6 million for the three months ended September 30, 2025, which included a 1.0% estimated negative impact from FX. SG&amp;A expenses of 24.1% of revenues for the three months ended September 30, 2025 compared to 23.8% of revenues for the three months ended September 30, 2024. The decrease in SG&amp;A expenses was primarily due to lower compensation, travel and entertainment and outside services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Revenues decreased $52.2 million, or 16.0%, to $274.8 million for the nine months ended September 30, 2025, primarily due to lower demand for our M&amp;A-related “second request” services.</w:t>
      </w:r>
    </w:p>
    <w:p>
      <w:pPr>
        <w:spacing w:after="0" w:line="108"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$29.3 million, or 24.7%, to $89.6 million for the nine months ended September 30, 2025. Gross profit margin decreased 3.8 percentage points for the nine months ended September 30, 2025. The decrease in gross profit margin was primarily due to lower profitability for our processing and managed review services, largely resulting from the decline in revenues from our M&amp;A-related “second request” services.</w:t>
      </w:r>
    </w:p>
    <w:p>
      <w:pPr>
        <w:spacing w:after="0" w:line="122"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SG&amp;A expenses decreased $8.1 million, or 10.4%, to $70.2 million for the nine months ended September 30, 2025. SG&amp;A expenses of 25.5% of revenues for the nine months ended September 30, 2025 compared to 23.9% of revenues for the nine months ended September 30, 2024. The decrease in SG&amp;A expenses was primarily due to lower compensation, travel and entertainment and outside services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STRATEGIC COMMUNICATIONS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9"/>
                <w:szCs w:val="19"/>
                <w:color w:val="auto"/>
              </w:rPr>
            </w:pPr>
          </w:p>
        </w:tc>
        <w:tc>
          <w:tcPr>
            <w:tcW w:w="280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89,415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83,292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279,083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249,441</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159,559</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56,418</w:t>
            </w: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4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73,550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72,104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237,019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216,185</w:t>
            </w:r>
          </w:p>
        </w:tc>
      </w:tr>
      <w:tr>
        <w:trPr>
          <w:trHeight w:val="223"/>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33,256</w:t>
            </w:r>
          </w:p>
        </w:tc>
      </w:tr>
      <w:tr>
        <w:trPr>
          <w:trHeight w:val="176"/>
        </w:trPr>
        <w:tc>
          <w:tcPr>
            <w:tcW w:w="4980" w:type="dxa"/>
            <w:vAlign w:val="bottom"/>
          </w:tcPr>
          <w:p>
            <w:pPr>
              <w:ind w:left="640"/>
              <w:spacing w:after="0" w:line="176"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2,905</w:t>
            </w:r>
          </w:p>
        </w:tc>
      </w:tr>
      <w:tr>
        <w:trPr>
          <w:trHeight w:val="22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16,909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48,293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36,161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89,882</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997</w:t>
            </w:r>
          </w:p>
        </w:tc>
      </w:tr>
      <w:tr>
        <w:trPr>
          <w:trHeight w:val="176"/>
        </w:trPr>
        <w:tc>
          <w:tcPr>
            <w:tcW w:w="4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175"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$6.1 million, or 7.4%, to $89.4 million for the three months ended September 30, 2025, which included a 2.0% estimated positive impact from FX. Excluding the estimated impact from FX, revenues increased $4.4 million, or 5.3%, primarily due to higher demand for our corporate reputation services.</w:t>
      </w:r>
    </w:p>
    <w:p>
      <w:pPr>
        <w:spacing w:after="0" w:line="12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$3.7 million, or 12.1%, to $34.1 million for the three months ended September 30, 2025. Gross profit margin increased 1.6 percentage points for the three months ended September 30, 2025. The increase in gross profit margin was primarily due to lower compensation expenses as a percentage of revenues, which included a 9.3% decline in billable headcount.</w:t>
      </w:r>
    </w:p>
    <w:p>
      <w:pPr>
        <w:spacing w:after="0" w:line="122" w:lineRule="exact"/>
        <w:rPr>
          <w:sz w:val="20"/>
          <w:szCs w:val="20"/>
          <w:color w:val="auto"/>
        </w:rPr>
      </w:pPr>
    </w:p>
    <w:p>
      <w:pPr>
        <w:ind w:right="40" w:firstLine="486"/>
        <w:spacing w:after="0" w:line="289" w:lineRule="auto"/>
        <w:rPr>
          <w:sz w:val="20"/>
          <w:szCs w:val="20"/>
          <w:color w:val="auto"/>
        </w:rPr>
      </w:pPr>
      <w:r>
        <w:rPr>
          <w:rFonts w:ascii="Times New Roman" w:cs="Times New Roman" w:eastAsia="Times New Roman" w:hAnsi="Times New Roman"/>
          <w:sz w:val="17"/>
          <w:szCs w:val="17"/>
          <w:color w:val="auto"/>
        </w:rPr>
        <w:t>SG&amp;A expenses decreased $1.0 million, or 5.4%, to $18.2 million for the three months ended September 30, 2025, which included a 2.3% estimated negative impact from FX. SG&amp;A expenses of 20.3% of revenues for the three months ended September 30, 2025 compared to 23.1% of revenues for the three months ended September 30, 2024. The decrease in SG&amp;A expenses was primarily due to lower infrastructure support and bad debt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$29.6 million, or 11.9%, to $279.1 million for the nine months ended September 30, 2025,which included a 1.1% estimated positive impact from FX. Excluding the estimated impact from FX, revenues increased $26.9 million, or 10.8%, primarily due to higher demand for our corporate reputation services and a $12.9 million increase in pass-through revenues.</w:t>
      </w:r>
    </w:p>
    <w:p>
      <w:pPr>
        <w:spacing w:after="0" w:line="12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Gross profit increased $11.7 million, or 13.0%, to $101.6 million for the nine months ended September 30, 2025. Gross profit margin increased 0.4 percentage points for the nine months ended September 30, 2025. The increase in gross profit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ind w:right="60"/>
        <w:spacing w:after="0" w:line="282" w:lineRule="auto"/>
        <w:rPr>
          <w:sz w:val="20"/>
          <w:szCs w:val="20"/>
          <w:color w:val="auto"/>
        </w:rPr>
      </w:pPr>
      <w:r>
        <w:rPr>
          <w:rFonts w:ascii="Times New Roman" w:cs="Times New Roman" w:eastAsia="Times New Roman" w:hAnsi="Times New Roman"/>
          <w:sz w:val="18"/>
          <w:szCs w:val="18"/>
          <w:color w:val="auto"/>
        </w:rPr>
        <w:t>margin was primarily due to lower compensation expenses as a percentage of revenues, which included a 9.3% decline in billable headcount. This increase was partially offset by higher pass-through revenues and expenses.</w:t>
      </w:r>
    </w:p>
    <w:p>
      <w:pPr>
        <w:spacing w:after="0" w:line="10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SG&amp;A expenses decreased $0.4 million, or 0.7%, to $56.0 million for the nine months ended September 30, 2025, which included a 1.3% estimated negative impact from FX. SG&amp;A expenses of 20.1% of revenues for the nine months ended September 30, 2025 compared to 22.6% of revenues for the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Note 1 to the Consolidated Financial Statements included in Part II, Item 8, of our Annual Report on Form 10-K for the year ended December 31, 2024 describes the significant accounting policies and methods used in preparation of the Condensed Consolidated Financial Statements in this Quarterly Report on Form 10-Q. 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 The accounting estimates that reflect our more significant judgments, and which we believe are the most critical to aid in fully understanding and evaluating our reported financial results, include the following:</w:t>
      </w:r>
    </w:p>
    <w:p>
      <w:pPr>
        <w:spacing w:after="0" w:line="140" w:lineRule="exact"/>
        <w:rPr>
          <w:sz w:val="20"/>
          <w:szCs w:val="20"/>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17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There were no material changes to our critical accounting estimates from the information provided in “Critical Accounting Estimates” in the Management’s Discussion and Analysis of Financial Condition and Results of Operations, in Part II, Item 7, of our Annual Report on Form 10-K for the year ended December 31, 2024, or from the information provided in Part II, Item 8, of our Annual Report on Form 10-K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NEW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“New Accounting Standards” in Part I, Item 1,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Credit Facility, as necessary, will provide adequate cash to fund our cash needs for at least the next 12 months.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spacing w:after="0" w:line="12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Resulting net translation adjustments are recorded as a component of stockholders’ equity in “Accumulated other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and Trends Affecting Liquidity</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5" w:name="page36"/>
    <w:bookmarkEnd w:id="35"/>
    <w:p>
      <w:pPr>
        <w:ind w:right="100"/>
        <w:spacing w:after="0" w:line="258" w:lineRule="auto"/>
        <w:rPr>
          <w:sz w:val="20"/>
          <w:szCs w:val="20"/>
          <w:color w:val="auto"/>
        </w:rPr>
      </w:pPr>
      <w:r>
        <w:rPr>
          <w:rFonts w:ascii="Times New Roman" w:cs="Times New Roman" w:eastAsia="Times New Roman" w:hAnsi="Times New Roman"/>
          <w:sz w:val="18"/>
          <w:szCs w:val="18"/>
          <w:color w:val="auto"/>
        </w:rPr>
        <w:t>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Credit Facility or raise additional debt or equity funding to meet those needs. Our ability to borrow or raise additional capital, if necessary, is subject to a variety of factors that we cannot predict with certainty, including:</w:t>
      </w:r>
    </w:p>
    <w:p>
      <w:pPr>
        <w:spacing w:after="0" w:line="129" w:lineRule="exact"/>
        <w:rPr>
          <w:sz w:val="20"/>
          <w:szCs w:val="20"/>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accounts receivable;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 levels of debt and equity;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overall condition of the capital markets;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securities.</w:t>
      </w:r>
    </w:p>
    <w:p>
      <w:pPr>
        <w:spacing w:after="0" w:line="17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Any new debt funding, if available, may be on terms less favorable to us than our Credit Facility. See “Forward-Looking Statements” in Part I, Item 2, of this Quarterly Report on Form 10-Q, and the information contained under the heading “Risk Factors” in Part I, Item 1A, of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60" w:type="dxa"/>
            <w:vAlign w:val="bottom"/>
          </w:tcPr>
          <w:p>
            <w:pPr>
              <w:spacing w:after="0"/>
              <w:rPr>
                <w:sz w:val="16"/>
                <w:szCs w:val="16"/>
                <w:color w:val="auto"/>
              </w:rPr>
            </w:pPr>
          </w:p>
        </w:tc>
        <w:tc>
          <w:tcPr>
            <w:tcW w:w="272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79,782</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DSO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ind w:left="500" w:hanging="492"/>
        <w:spacing w:after="0" w:line="235"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DSO is a performance measure used to assess how quickly revenues are collected by the Company. We calculate DSO at the end of each reporting period by dividing net accounts receivable reduced by billings in excess of services provided, by revenues for the quarter, adjusted for changes in FX rates. We multiply the result by the number of days in the quarter.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$207.6 million during the nine months ended September 30, 2025 compared to net cash provided by operating activities of $79.8 million for the nine months ended September 30, 2024. The increase in net cash used in operating activities was primarily due to an increase in forgivable loan issuances, and higher compensation and income tax payments. DSO was 102 and 108 days as of September 30, 2025 and 2024, respectively.</w:t>
      </w:r>
    </w:p>
    <w:p>
      <w:pPr>
        <w:spacing w:after="0" w:line="12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of $50.1 million during the nine months ended September 30, 2025 compared to net cash provided by investing activities of $3.5 million for the nine months ended September 30, 2024. The increase in net cash used in investing activities was due to a $28.4 million increase in capital expenditures, primarily related to higher spend on leasehold improvements and cloud computing costs as compared to the nine months ended September 30, 2024, as well as the prior year maturity of a short-term investment of $25.2 million, which created an inflow in the comparative prior year period.</w:t>
      </w:r>
    </w:p>
    <w:p>
      <w:pPr>
        <w:spacing w:after="0" w:line="1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$277.3 million during the nine months ended September 30, 2025 compared to $4.9 million for the nine months ended September 30, 2024. The increase in net cash used in financing activities was primarily due to $770.9 million in payments for common stock repurchases under the Repurchase Program, which was partially offset by an increase in net borrowings of $510.0 million under our Credit Facility compared to the nine months ended September 30, 2024.</w:t>
      </w:r>
    </w:p>
    <w:p>
      <w:pPr>
        <w:spacing w:after="0" w:line="126"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had a favorable impact of $20.5 million and $4.7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Cash paid for income taxes and tax credits, net of tax refunds, included $28.9 million and $23.5 million of payments for the purchase of tax credits during the nine months ended September 30,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Sources of Capital Resources</w:t>
      </w:r>
    </w:p>
    <w:p>
      <w:pPr>
        <w:spacing w:after="0" w:line="17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2025, our capital resources included $146.0 million of cash and cash equivalents and available borrowing capacity of $390.0 million under the revolving line of credit under our Credit Facility. The $900.0 million revolving line of credit under our Credit Facility includes a $125.0 million sublimit for borrowings in currencies other than USD, including the euro, British pound, Australian dollar, Canadian dollar, Swiss franc and Japanese yen.</w:t>
      </w:r>
    </w:p>
    <w:p>
      <w:pPr>
        <w:spacing w:after="0" w:line="12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availability of borrowings, as well as issuances and extensions of letters of credit under our Credit Facility, are subject to specified conditions. Subject to certain conditions, at any time prior to maturity, we will be able to invite existing and new lenders to increase the size of the facility up to a maximum of $1.2 billion. See Note 8, “Debt” in Part I, Item 1, of this Quarterly Report on Form 10-Q for a further discussion of variable interest rates and guarantees under the Credit Facility.</w:t>
      </w:r>
    </w:p>
    <w:p>
      <w:pPr>
        <w:spacing w:after="0" w:line="12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entered into on November 21, 2022 (the “Credit Agreement”) governing the Credit Facility and our other indebtedness outstanding from time to time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or our foreign subsidiaries; enter into hedging agreements; enter into transactions with affiliates or related persons; or engage in any business other than consulting-related businesses. In addition, the Credit Agreement includes a financial covenant that requires us not to exceed a maximum consolidated total net leverage ratio (the ratio of funded debt (less unrestricted cash up to $300.0 million) to Consolidated EBITDA, as defined in the Credit Agreement). As of September 30, 2025, we were in compliance with the covenants contained in the Credit Agreement. See Note 8, “Debt” in Part I, Item 1, of this Quarterly Report on Form 10-Q for a further discussion of the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Uses of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anticipate that our future capital requirements will principally consist of funds required for:</w:t>
      </w:r>
    </w:p>
    <w:p>
      <w:pPr>
        <w:spacing w:after="0" w:line="171" w:lineRule="exact"/>
        <w:rPr>
          <w:sz w:val="20"/>
          <w:szCs w:val="20"/>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general corporate expenses;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information technology equipment and systems, office furniture and leasehold improvements;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including interest payments;</w:t>
      </w:r>
    </w:p>
    <w:p>
      <w:pPr>
        <w:spacing w:after="0" w:line="171"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designated executive management and senior managing directors under our various long-term incentive compensation programs, including forgivable loans;</w:t>
      </w:r>
    </w:p>
    <w:p>
      <w:pPr>
        <w:spacing w:after="0" w:line="10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funding of the Repurchase Program;</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related to our acquisitions;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known future contractual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we spent $50.1 million in capital expenditures to support our organization. For the remainder of 2025, we currently expect additional capital expenditures to support our organization in an aggregate amount of between $13 million and $15 million. Our estimate takes into consideration the needs of our existing businesses but does not include the impact of any purchases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additional acquisitions.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made $770.9 million in payments for common stock repurchases under the Repurchase Program. We had $75.3 million remaining available under the Repurchase Program to repurchase additional shares of our common stock as of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Obligations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future contractual obligations as of September 30, 2025 include long-term obligations of $510.0 million related to outstanding borrowings under our Credit Facility. For more information on our Credit Facility, refer to Note 8, “Debt” in Part I, Item 1 of this Quarterly Report on Form 10-Q. Under our operating leases as described in Note 9, “Leases” in Part I, Item 1 of this Quarterly Report on Form 10-Q, we have current obligations of $33.4 million and non-current obligations of $226.0 million as of September 30, 2025.</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the Company was contingently liable under bank guarantees issued in favor of third parties that totaled $19.1 million and $10.9 million, respectively. These bank guarantees primarily support bid and performance obligations and operating leases for office space. The amounts are guaranteed under guarantee facilities totaling $47.5 million and $42.7 million as of September 30, 2025 and December 31, 2024, respectively. The Company had $28.3 million and $31.8 million available under the guarantee facilities as of September 30, 2025 and December 31, 2024, respectively. These bank guarantees are issued separately from our Credit Facility and, as a result, do not affect available borrowing capacity under our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includes “forward-looking statements” within the meaning of Section 27A of the Securities Act of 1933, as amended (the “Securities Act”), and Section 21E of the Securities Exchange Act of 1934, as amended (the “Exchange Act”), that involve uncertainties and risks. Forward-looking statements include statements concerning our plans, initiatives, projections, prospects, policies, processes and practices, objectives, goals, commitments, strategies, future events, future revenues, future results and performance, future capital allocations and expenditures, expectations, plans or intentions relating to acquisitions, share repurchases and other matters, business trends, new, or changes to, laws and regulations, including U.S. and foreign tax laws, environmental, social and governance (“ESG”)-related issues, climate change-related matters, scientific or technological developments, including relating to new and emerging technologies, such as AI and machine learning and other information that is not historical. Forward-looking statements often contain words such as </w:t>
      </w:r>
      <w:r>
        <w:rPr>
          <w:rFonts w:ascii="Times New Roman" w:cs="Times New Roman" w:eastAsia="Times New Roman" w:hAnsi="Times New Roman"/>
          <w:sz w:val="18"/>
          <w:szCs w:val="18"/>
          <w:i w:val="1"/>
          <w:iCs w:val="1"/>
          <w:color w:val="auto"/>
        </w:rPr>
        <w:t>“estimates,” “expects,” “anticipates,” “projects,” “plans,” “intends,” “believes,” “commits,” “aspires,”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“forecasts,” “future,” “goal,” “seeks” </w:t>
      </w:r>
      <w:r>
        <w:rPr>
          <w:rFonts w:ascii="Times New Roman" w:cs="Times New Roman" w:eastAsia="Times New Roman" w:hAnsi="Times New Roman"/>
          <w:sz w:val="18"/>
          <w:szCs w:val="18"/>
          <w:color w:val="auto"/>
        </w:rPr>
        <w:t>and variations of such words or similar expressions. All forward-looking statements, including,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financial guidance and examination of operating trends, are based upon our historical performance and our current plans, estimates, intentions and expectations at the time we make them, and various assumptions. Our actual financial results, performance or achievements and outcomes could differ materially from those expressed in, or implied by, any forward-looking statements. Any references to standards of measurement and performance made regarding our climate change-, ESG- or other sustainability-related plans, goals, commitments, intentions, aspirations, forecasts or projections, or expectations are developing and based on assumptions. There can be no assurance that management’s plans, performance, expectations, intentions, aspirations, beliefs, goals, estimates, forecasts and projections, including any that are ESG- or other sustainability-related, will result or be achieved, and the inclusion of any forward-looking information should not be regarded as a representation by us or any other person that the future plans, estimates, forecasts, intentions, aspirations, beliefs or expectations contemplated by us will be achieved. Given these risks, uncertainties and other factors, you should not place undue reliance on any forward-looking statements.</w:t>
      </w:r>
    </w:p>
    <w:p>
      <w:pPr>
        <w:spacing w:after="0" w:line="13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or implied by, this Quarterly Report on Form 10-Q. Important factors that could cause our actual results to differ materially from the forward-looking statements we make in this Quarterly Report on Form 10-Q include those set forth under the heading “Risk Factors” in Part I, Item 1A, of our Annual Report on Form 10-K for the year ended December 31, 2024, as well as in other information that we file with the SEC from time to time. Important factors that could cause our actual results to differ materially from the forward-looking statements we make in this Quarterly Report on Form 10-Q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services;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professionals and senior management, including segment, industry and regional leaders;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resulting in our inability to represent certain clients;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employees joining or forming competing businesses;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legislation rendering contractual protections against competition by former employees unenforceable;</w:t>
      </w:r>
    </w:p>
    <w:p>
      <w:pPr>
        <w:spacing w:after="0" w:line="171" w:lineRule="exact"/>
        <w:rPr>
          <w:rFonts w:ascii="Times New Roman" w:cs="Times New Roman" w:eastAsia="Times New Roman" w:hAnsi="Times New Roman"/>
          <w:sz w:val="18"/>
          <w:szCs w:val="18"/>
          <w:color w:val="auto"/>
        </w:rPr>
      </w:pPr>
    </w:p>
    <w:p>
      <w:pPr>
        <w:ind w:left="246" w:right="2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needs and our professionals’ utilization and billing rates and maintain or increase the pricing of our services and products;</w:t>
      </w:r>
    </w:p>
    <w:p>
      <w:pPr>
        <w:spacing w:after="0" w:line="107" w:lineRule="exact"/>
        <w:rPr>
          <w:rFonts w:ascii="Times New Roman" w:cs="Times New Roman" w:eastAsia="Times New Roman" w:hAnsi="Times New Roman"/>
          <w:sz w:val="18"/>
          <w:szCs w:val="18"/>
          <w:color w:val="auto"/>
        </w:rPr>
      </w:pPr>
    </w:p>
    <w:p>
      <w:pPr>
        <w:ind w:left="246" w:right="50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negotiate favorable terms, take advantage of opportunistic acquisition situations and integrate the operations of acquisitions, as well as the costs of integration;</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and manage the risks associated with operating in non-U.S. markets;</w:t>
      </w:r>
    </w:p>
    <w:p>
      <w:pPr>
        <w:spacing w:after="0" w:line="171" w:lineRule="exact"/>
        <w:rPr>
          <w:rFonts w:ascii="Times New Roman" w:cs="Times New Roman" w:eastAsia="Times New Roman" w:hAnsi="Times New Roman"/>
          <w:sz w:val="18"/>
          <w:szCs w:val="18"/>
          <w:color w:val="auto"/>
        </w:rPr>
      </w:pPr>
    </w:p>
    <w:p>
      <w:pPr>
        <w:ind w:left="246" w:right="22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replace key personnel, including former executives, officers, senior managers and practice and regional leaders who have highly specialized skills and experience;</w:t>
      </w:r>
    </w:p>
    <w:p>
      <w:pPr>
        <w:spacing w:after="0" w:line="107" w:lineRule="exact"/>
        <w:rPr>
          <w:rFonts w:ascii="Times New Roman" w:cs="Times New Roman" w:eastAsia="Times New Roman" w:hAnsi="Times New Roman"/>
          <w:sz w:val="18"/>
          <w:szCs w:val="18"/>
          <w:color w:val="auto"/>
        </w:rPr>
      </w:pPr>
    </w:p>
    <w:p>
      <w:pPr>
        <w:ind w:left="246" w:right="30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confidentiality of internal and client data and proprietary and confidential information, including from cyberattacks, systems failures or other similar events or outside or internal bad actors, or the use or misuse of social media;</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judicial rulings, including legislation or rulings regarding data privacy and the discovery process;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revenues, operating income and cash flows;</w:t>
      </w:r>
    </w:p>
    <w:p>
      <w:pPr>
        <w:spacing w:after="0" w:line="171" w:lineRule="exact"/>
        <w:rPr>
          <w:rFonts w:ascii="Times New Roman" w:cs="Times New Roman" w:eastAsia="Times New Roman" w:hAnsi="Times New Roman"/>
          <w:sz w:val="18"/>
          <w:szCs w:val="18"/>
          <w:color w:val="auto"/>
        </w:rPr>
      </w:pPr>
    </w:p>
    <w:p>
      <w:pPr>
        <w:ind w:left="246" w:right="44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as a result of claims involving the quality of our services, failures of our internal information technology systems controls or adverse publicity relating to certain clients or engagements;</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discounting or renegotiation, lower pricing, less advantageous contract terms and unexpected termination of client engagements;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clients and key personnel;</w:t>
      </w:r>
    </w:p>
    <w:p>
      <w:pPr>
        <w:spacing w:after="0" w:line="171" w:lineRule="exact"/>
        <w:rPr>
          <w:rFonts w:ascii="Times New Roman" w:cs="Times New Roman" w:eastAsia="Times New Roman" w:hAnsi="Times New Roman"/>
          <w:sz w:val="18"/>
          <w:szCs w:val="18"/>
          <w:color w:val="auto"/>
        </w:rPr>
      </w:pPr>
    </w:p>
    <w:p>
      <w:pPr>
        <w:ind w:left="246"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industry trends, restructuring and bankruptcy rates, legal or regulatory requirements, capital market conditions, merger and acquisition activity, major litigation activity, geopolitical disruptions and other events outside of our control;</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non-payment of receivables;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terms of our outstanding indebtedness;</w:t>
      </w:r>
    </w:p>
    <w:p>
      <w:pPr>
        <w:spacing w:after="0" w:line="171" w:lineRule="exact"/>
        <w:rPr>
          <w:rFonts w:ascii="Times New Roman" w:cs="Times New Roman" w:eastAsia="Times New Roman" w:hAnsi="Times New Roman"/>
          <w:sz w:val="18"/>
          <w:szCs w:val="18"/>
          <w:color w:val="auto"/>
        </w:rPr>
      </w:pPr>
    </w:p>
    <w:p>
      <w:pPr>
        <w:ind w:left="246" w:right="40" w:hanging="246"/>
        <w:spacing w:after="0" w:line="261"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obsolescence, replacement, protection, implementation or operation of our information technology systems, including our enterprise resource planning and other financial systems, and software, proprietary software products, intellectual property rights and trade secrets, which could adversely affect our ability to retain or win clients, conduct business, preserve or enhance our reputation, maintain business continuity or report financial results;</w:t>
      </w:r>
    </w:p>
    <w:p>
      <w:pPr>
        <w:spacing w:after="0" w:line="125"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adoption and integration of technological innovations such as AI and machine learning;</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disruptions and currency fluctuations between the U.S. dollar and foreign currencies;</w:t>
      </w:r>
    </w:p>
    <w:p>
      <w:pPr>
        <w:spacing w:after="0" w:line="171" w:lineRule="exact"/>
        <w:rPr>
          <w:rFonts w:ascii="Times New Roman" w:cs="Times New Roman" w:eastAsia="Times New Roman" w:hAnsi="Times New Roman"/>
          <w:sz w:val="18"/>
          <w:szCs w:val="18"/>
          <w:color w:val="auto"/>
        </w:rPr>
      </w:pPr>
    </w:p>
    <w:p>
      <w:pPr>
        <w:ind w:left="246" w:right="36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including the enactment of tax legislation, proposed from time to time, into law, which could increase our effective tax rate and cash tax expenditures;</w:t>
      </w:r>
    </w:p>
    <w:p>
      <w:pPr>
        <w:spacing w:after="0" w:line="107" w:lineRule="exact"/>
        <w:rPr>
          <w:rFonts w:ascii="Times New Roman" w:cs="Times New Roman" w:eastAsia="Times New Roman" w:hAnsi="Times New Roman"/>
          <w:sz w:val="18"/>
          <w:szCs w:val="18"/>
          <w:color w:val="auto"/>
        </w:rPr>
      </w:pPr>
    </w:p>
    <w:p>
      <w:pPr>
        <w:ind w:left="246" w:right="160" w:hanging="246"/>
        <w:spacing w:after="0" w:line="282" w:lineRule="auto"/>
        <w:tabs>
          <w:tab w:leader="none" w:pos="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risks related to climate change, including rising temperatures, severe storms, energy disruptions, fires or wildfires, flooding and rising sea levels, among others, which could adversely impact our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6"/>
          </w:cols>
          <w:pgMar w:left="814" w:top="891" w:right="419" w:bottom="1440" w:gutter="0" w:footer="0" w:header="0"/>
        </w:sectPr>
      </w:pPr>
    </w:p>
    <w:bookmarkStart w:id="39" w:name="page40"/>
    <w:bookmarkEnd w:id="39"/>
    <w:p>
      <w:pPr>
        <w:ind w:left="740" w:right="500"/>
        <w:spacing w:after="0" w:line="282" w:lineRule="auto"/>
        <w:rPr>
          <w:sz w:val="20"/>
          <w:szCs w:val="20"/>
          <w:color w:val="auto"/>
        </w:rPr>
      </w:pPr>
      <w:r>
        <w:rPr>
          <w:rFonts w:ascii="Times New Roman" w:cs="Times New Roman" w:eastAsia="Times New Roman" w:hAnsi="Times New Roman"/>
          <w:sz w:val="18"/>
          <w:szCs w:val="18"/>
          <w:color w:val="auto"/>
        </w:rPr>
        <w:t>or maintain business continuity, including by affecting our access to our leased office space in affected geographies and the integrity of our information technology systems;</w:t>
      </w:r>
    </w:p>
    <w:p>
      <w:pPr>
        <w:spacing w:after="0" w:line="108" w:lineRule="exact"/>
        <w:rPr>
          <w:sz w:val="20"/>
          <w:szCs w:val="20"/>
          <w:color w:val="auto"/>
        </w:rPr>
      </w:pPr>
    </w:p>
    <w:p>
      <w:pPr>
        <w:ind w:left="740" w:right="300" w:hanging="246"/>
        <w:spacing w:after="0" w:line="266"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change and ESG-related initiatives and goals, including our policies and practices relating to the environment and climate change, sustainability, and inclusion, if they do not meet or keep pace with current or evolving governmental, investor or other stakeholder or media (including social media) expectations and standards or rules and regulations; and</w:t>
      </w:r>
    </w:p>
    <w:p>
      <w:pPr>
        <w:spacing w:after="0" w:line="12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services and the geographic locations in which our clients are located or our services are rendered.</w:t>
      </w:r>
    </w:p>
    <w:p>
      <w:pPr>
        <w:spacing w:after="0" w:line="17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There may be other factors that may cause our actual results to differ materially from our forward-looking statements. All forward-looking statements attributable to us or persons acting on our behalf apply only as of the date of this Quarterly Report on Form 10-Q and are expressly qualified in their entirety by the cautionary statements included herein. We undertake no obligation to publicly update or revise any forward-looking statements to reflect subsequent events or circumstances and do not intend to do so.</w:t>
      </w:r>
    </w:p>
    <w:p>
      <w:pPr>
        <w:spacing w:after="0" w:line="16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7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“Quantitative and Qualitative Disclosures About Market Risk” in Part II, Item 7A, of our Annual Report on Form 10-K for the year ended December 31, 2024. There have been no material changes in our market risk exposure during the period covered by this Quarterly Report on Form 10-Q.</w:t>
      </w:r>
    </w:p>
    <w:p>
      <w:pPr>
        <w:spacing w:after="0" w:line="15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An evaluation of the effectiveness of the design and operation of our “disclosure controls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(as defined in Rule 13a-15(e) under the Exchange Act), as of the end of the period covered by this Quarterly Report on Form 10-Q, was made under the supervision and with the participation of our management, including our Chief Executive Officer and Interim Chief Financial Officer. Based upon this evaluation, our Chief Executive Officer and Interim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Interim Chief Financial Officer, as appropriate, to allow timely decisions regarding required disclosure.</w:t>
      </w:r>
    </w:p>
    <w:p>
      <w:pPr>
        <w:spacing w:after="0" w:line="131" w:lineRule="exact"/>
        <w:rPr>
          <w:sz w:val="20"/>
          <w:szCs w:val="20"/>
          <w:color w:val="auto"/>
        </w:rPr>
      </w:pPr>
    </w:p>
    <w:p>
      <w:pPr>
        <w:ind w:right="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5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7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 to claims, asserted or unasserted, or named as a party to lawsuits or investigations. Litigation, in general, and intellectual property and securities litigation in particular, can be expensive and disruptive to normal business operations. Moreover, the results of legal proceedings cannot be predicted with any certainty and in the case of more complex legal proceedings such as intellectual property and securities litigation, the results are difficult to predict at all. We are not aware of any asserted or unasserted legal proceedings or claims that we believe would have a material adverse effect on our financial condition or our results of operations.</w:t>
      </w:r>
    </w:p>
    <w:p>
      <w:pPr>
        <w:spacing w:after="0" w:line="16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in any risk factors previously disclosed in Part I, Item 1A, of our Annual Report on Form 10-K for the year ended December 31, 2024 filed with the SEC. We may disclose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4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Repurchases of our common stock.</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10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1"/>
                <w:szCs w:val="11"/>
                <w:color w:val="auto"/>
              </w:rPr>
            </w:pPr>
          </w:p>
        </w:tc>
        <w:tc>
          <w:tcPr>
            <w:tcW w:w="1880" w:type="dxa"/>
            <w:vAlign w:val="bottom"/>
          </w:tcPr>
          <w:p>
            <w:pPr>
              <w:jc w:val="center"/>
              <w:ind w:right="162"/>
              <w:spacing w:after="0" w:line="13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21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40" w:type="dxa"/>
            <w:vAlign w:val="bottom"/>
          </w:tcPr>
          <w:p>
            <w:pPr>
              <w:spacing w:after="0"/>
              <w:rPr>
                <w:sz w:val="12"/>
                <w:szCs w:val="12"/>
                <w:color w:val="auto"/>
              </w:rPr>
            </w:pPr>
          </w:p>
        </w:tc>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9"/>
                <w:szCs w:val="9"/>
                <w:b w:val="1"/>
                <w:bCs w:val="1"/>
                <w:color w:val="auto"/>
              </w:rPr>
              <w:t>(1)</w:t>
            </w: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 except price per share data)</w:t>
            </w: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165.11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221,903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tcPr>
          <w:p>
            <w:pPr>
              <w:spacing w:after="0"/>
              <w:rPr>
                <w:sz w:val="19"/>
                <w:szCs w:val="19"/>
                <w:color w:val="auto"/>
              </w:rPr>
            </w:pPr>
          </w:p>
        </w:tc>
        <w:tc>
          <w:tcPr>
            <w:tcW w:w="210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23"/>
                <w:szCs w:val="23"/>
                <w:color w:val="auto"/>
                <w:vertAlign w:val="superscript"/>
              </w:rPr>
              <w:t>(5)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178,107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162.43</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633 </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75,256</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94" w:lineRule="exact"/>
        <w:rPr>
          <w:sz w:val="20"/>
          <w:szCs w:val="20"/>
          <w:color w:val="auto"/>
        </w:rPr>
      </w:pPr>
    </w:p>
    <w:p>
      <w:pPr>
        <w:ind w:left="660" w:right="160" w:hanging="652"/>
        <w:spacing w:after="0" w:line="241"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$400.0 million to an aggregate authorization of $1.7 billion on April 21, 2025. No time limit has been established for the completion of the Repurchase Program, and the Repurchase Program may be suspended, discontinued or replaced by the Board of Directors at any time without prior notice. During the quarter ended September 30, 2025, we repurchased an aggregate of 1,425,644 shares of our common stock under the Repurchase Program at an average price of $164.18 per share for a total cost of approximately $234.1 million.</w:t>
      </w:r>
    </w:p>
    <w:p>
      <w:pPr>
        <w:sectPr>
          <w:pgSz w:w="11900" w:h="16838" w:orient="portrait"/>
          <w:cols w:equalWidth="0" w:num="1">
            <w:col w:w="11240"/>
          </w:cols>
          <w:pgMar w:left="320" w:top="887"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3,826 shares of common stock withheld to cover payroll tax withholdings.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4,847 shares of common stock withheld to cover payroll tax withholdings.</w:t>
      </w:r>
    </w:p>
    <w:p>
      <w:pPr>
        <w:spacing w:after="0" w:line="171"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July 31, 2025, we repurchased and retired 529,581 shares of common stock, at an average price per share of $165.10, for an aggregate cost of $87.4 million.</w:t>
      </w:r>
    </w:p>
    <w:p>
      <w:pPr>
        <w:spacing w:after="0" w:line="108"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ind w:left="660" w:right="140" w:hanging="652"/>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month ended August 31, 2025, we repurchased and retired 262,996 shares of common stock, at an average price per share of $166.51, for an aggregate cost of $43.8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ind w:left="660" w:right="140" w:hanging="652"/>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month ended September 30, 2025, we repurchased and retired 633,067 shares of common stock, at an average price per share of $162.44, for an aggregate cost of $102.8 million.</w:t>
      </w:r>
    </w:p>
    <w:p>
      <w:pPr>
        <w:spacing w:after="0" w:line="181"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Trading plans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Section 16 officer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891" w:right="7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92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59"/>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11"/>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2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4"/>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Articles of Incorporation of FTI Consulting, Inc., as amended and restated. (Filed with the Securities and Exchange Commission on May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23, 2003 as an Exhibit to FTI Consulting, Inc.’s Current Report on Form 8-K dated May 21, 2003 and incorporated herein by reference.)</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Articles of Amendment of FTI Consulting, Inc. (Filed with the Securities and Exchange Commission on June 2, 2011 as an Exhibit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FTI Consulting, Inc.’s Current Report on Form 8-K dated June 1, 2011 and incorporated herein by reference.)</w:t>
              </w:r>
            </w:hyperlink>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4"/>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Bylaws of FTI Consulting, Inc., as Amended and Restated Adopted February 20, 2023. (Filed with the Securities and Exchange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Commission on February 21, 2023 as an Exhibit to FTI Consulting, Inc.’s Current Report on Form 8-K dated February 20, 2023</w:t>
              </w:r>
            </w:hyperlink>
          </w:p>
        </w:tc>
        <w:tc>
          <w:tcPr>
            <w:tcW w:w="720" w:type="dxa"/>
            <w:vAlign w:val="bottom"/>
            <w:gridSpan w:val="9"/>
          </w:tcPr>
          <w:p>
            <w:pPr>
              <w:ind w:left="60"/>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15d-14(a) under the Securities Exchange Act of 1934, as</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amended (Section 302 of the Sarbanes-Oxley Act of 2002.)</w:t>
            </w:r>
          </w:p>
        </w:tc>
        <w:tc>
          <w:tcPr>
            <w:tcW w:w="5240" w:type="dxa"/>
            <w:vAlign w:val="bottom"/>
            <w:tcBorders>
              <w:top w:val="single" w:sz="8" w:color="0000FF"/>
            </w:tcBorders>
            <w:gridSpan w:val="7"/>
          </w:tcPr>
          <w:p>
            <w:pPr>
              <w:spacing w:after="0"/>
              <w:rPr>
                <w:sz w:val="13"/>
                <w:szCs w:val="13"/>
                <w:color w:val="auto"/>
              </w:rPr>
            </w:pP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15d-14(a) under the Securities Exchange Act of 1934, as</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amended (Section 302 of the Sarbanes-Oxley Act of 2002.)</w:t>
            </w:r>
          </w:p>
        </w:tc>
        <w:tc>
          <w:tcPr>
            <w:tcW w:w="4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(Section 906 of the Sarbanes-Oxley Act of 2002.)</w:t>
            </w:r>
          </w:p>
        </w:tc>
        <w:tc>
          <w:tcPr>
            <w:tcW w:w="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60" w:hanging="1274"/>
        <w:spacing w:after="0" w:line="223"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Quarterly Report on Form 10-Q of FTI Consulting, Inc., included herewith, and formatted in Inline XBRL (eXtensible Business Reporting Language): (i) Condensed Consolidated Balance Sheets as of September 30, 2025 and December 31, 2024; (ii) Condensed Consolidated Statements of Comprehensive Income for the three and nine months ended September 30, 2025 and 2024; (iii) Condensed Consolidated Statements of Stockholders’ Equity for the three and nine months ended September 30, 2025 and 2024; (iv) Condensed Consolidated Statements of Cash Flows for the nine months ended September 30, 2025 and 2024; and</w:t>
      </w:r>
    </w:p>
    <w:p>
      <w:pPr>
        <w:spacing w:after="0" w:line="2"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Notes to the Condensed Consolidated Financial Statements, tagged as blocks of text.</w:t>
      </w:r>
    </w:p>
    <w:p>
      <w:pPr>
        <w:spacing w:after="0" w:line="178" w:lineRule="exact"/>
        <w:rPr>
          <w:sz w:val="20"/>
          <w:szCs w:val="20"/>
          <w:color w:val="auto"/>
        </w:rPr>
      </w:pPr>
    </w:p>
    <w:p>
      <w:pPr>
        <w:ind w:left="1300" w:right="480" w:hanging="1274"/>
        <w:spacing w:after="0" w:line="237"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2025, formatted in Inline XBRL (included as Exhibit 101).</w:t>
      </w:r>
    </w:p>
    <w:p>
      <w:pPr>
        <w:spacing w:after="0" w:line="280" w:lineRule="exact"/>
        <w:rPr>
          <w:sz w:val="20"/>
          <w:szCs w:val="20"/>
          <w:color w:val="auto"/>
        </w:rPr>
      </w:pPr>
    </w:p>
    <w:p>
      <w:pPr>
        <w:ind w:left="740" w:hanging="714"/>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06" w:lineRule="exact"/>
        <w:rPr>
          <w:sz w:val="20"/>
          <w:szCs w:val="20"/>
          <w:color w:val="auto"/>
        </w:rPr>
      </w:pPr>
    </w:p>
    <w:p>
      <w:pPr>
        <w:ind w:left="740" w:right="380" w:hanging="714"/>
        <w:spacing w:after="0" w:line="23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3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252" w:lineRule="exact"/>
        <w:rPr>
          <w:sz w:val="20"/>
          <w:szCs w:val="20"/>
          <w:color w:val="auto"/>
        </w:rPr>
      </w:pPr>
    </w:p>
    <w:p>
      <w:pPr>
        <w:ind w:left="560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Brendan Keating</w:t>
      </w:r>
    </w:p>
    <w:p>
      <w:pPr>
        <w:spacing w:after="0" w:line="1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Accounting Officer and</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Controller</w:t>
      </w:r>
    </w:p>
    <w:p>
      <w:pPr>
        <w:spacing w:after="0" w:line="1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887"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 Gunby, certify that:</w:t>
      </w:r>
    </w:p>
    <w:p>
      <w:pPr>
        <w:spacing w:after="0" w:line="144" w:lineRule="exact"/>
        <w:rPr>
          <w:sz w:val="20"/>
          <w:szCs w:val="20"/>
          <w:color w:val="auto"/>
        </w:rPr>
      </w:pPr>
    </w:p>
    <w:p>
      <w:pPr>
        <w:ind w:left="740" w:hanging="714"/>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387" w:lineRule="exact"/>
        <w:rPr>
          <w:sz w:val="20"/>
          <w:szCs w:val="20"/>
          <w:color w:val="auto"/>
        </w:rPr>
      </w:pPr>
    </w:p>
    <w:p>
      <w:pPr>
        <w:ind w:left="560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Linton, certify that:</w:t>
      </w:r>
    </w:p>
    <w:p>
      <w:pPr>
        <w:spacing w:after="0" w:line="144" w:lineRule="exact"/>
        <w:rPr>
          <w:sz w:val="20"/>
          <w:szCs w:val="20"/>
          <w:color w:val="auto"/>
        </w:rPr>
      </w:pPr>
    </w:p>
    <w:p>
      <w:pPr>
        <w:ind w:left="740" w:hanging="714"/>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387" w:lineRule="exact"/>
        <w:rPr>
          <w:sz w:val="20"/>
          <w:szCs w:val="20"/>
          <w:color w:val="auto"/>
        </w:rPr>
      </w:pPr>
    </w:p>
    <w:p>
      <w:pPr>
        <w:ind w:left="560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Paul Linton</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September 30, 2025, as filed with the Securities and Exchange Commission on the date hereof (the “Report”), I, Steven H. Gunby, President and Chief Executive Officer (principal executive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23, 2025</w:t>
      </w:r>
    </w:p>
    <w:p>
      <w:pPr>
        <w:spacing w:after="0" w:line="244" w:lineRule="exact"/>
        <w:rPr>
          <w:sz w:val="20"/>
          <w:szCs w:val="20"/>
          <w:color w:val="auto"/>
        </w:rPr>
      </w:pPr>
    </w:p>
    <w:p>
      <w:pPr>
        <w:ind w:left="60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September 30, 2025, as filed with the Securities and Exchange Commission on the date hereof (the “Report”), I, Paul Linton, Interim Chief Financial Officer (principal financial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23, 2025</w:t>
      </w:r>
    </w:p>
    <w:p>
      <w:pPr>
        <w:spacing w:after="0" w:line="244" w:lineRule="exact"/>
        <w:rPr>
          <w:sz w:val="20"/>
          <w:szCs w:val="20"/>
          <w:color w:val="auto"/>
        </w:rPr>
      </w:pPr>
    </w:p>
    <w:p>
      <w:pPr>
        <w:ind w:left="600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26035</wp:posOffset>
            </wp:positionV>
            <wp:extent cx="33343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Paul Linton</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Roman"/>
      <w:start w:val="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5"/>
    </w:lvl>
  </w:abstractNum>
  <w:abstractNum w:abstractNumId="18">
    <w:nsid w:val="2D1D5AE9"/>
    <w:multiLevelType w:val="hybridMultilevel"/>
    <w:lvl w:ilvl="0">
      <w:lvlJc w:val="left"/>
      <w:lvlText w:val="(%1)"/>
      <w:numFmt w:val="decimal"/>
      <w:start w:val="6"/>
    </w:lvl>
  </w:abstractNum>
  <w:abstractNum w:abstractNumId="19">
    <w:nsid w:val="6763845E"/>
    <w:multiLevelType w:val="hybridMultilevel"/>
    <w:lvl w:ilvl="0">
      <w:lvlJc w:val="left"/>
      <w:lvlText w:val="%1"/>
      <w:numFmt w:val="decimal"/>
      <w:start w:val="101"/>
    </w:lvl>
  </w:abstractNum>
  <w:abstractNum w:abstractNumId="20">
    <w:nsid w:val="75A2A8D4"/>
    <w:multiLevelType w:val="hybridMultilevel"/>
    <w:lvl w:ilvl="0">
      <w:lvlJc w:val="left"/>
      <w:lvlText w:val="%1"/>
      <w:numFmt w:val="decimal"/>
      <w:start w:val="104"/>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4" Type="http://schemas.openxmlformats.org/officeDocument/2006/relationships/hyperlink" Target="https://www.sec.gov/Archives/edgar/data/887936/000102140803008198/dex992.txt" TargetMode="External"/><Relationship Id="rId75" Type="http://schemas.openxmlformats.org/officeDocument/2006/relationships/hyperlink" Target="https://www.sec.gov/Archives/edgar/data/887936/000119312511157222/dex31.htm" TargetMode="External"/><Relationship Id="rId76" Type="http://schemas.openxmlformats.org/officeDocument/2006/relationships/hyperlink" Target="https://www.sec.gov/Archives/edgar/data/887936/000119312523043569/d46535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2025-10-23T06:38:18Z</dcterms:created>
  <dcterms:modified xsi:type="dcterms:W3CDTF">2025-10-23T06:38:18Z</dcterms:modified>
</cp:coreProperties>
</file>