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442595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467360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2460625</wp:posOffset>
            </wp:positionH>
            <wp:positionV relativeFrom="paragraph">
              <wp:posOffset>88900</wp:posOffset>
            </wp:positionV>
            <wp:extent cx="2229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2460625</wp:posOffset>
            </wp:positionH>
            <wp:positionV relativeFrom="paragraph">
              <wp:posOffset>107315</wp:posOffset>
            </wp:positionV>
            <wp:extent cx="2229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680" w:hanging="656"/>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001-14875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2460625</wp:posOffset>
            </wp:positionH>
            <wp:positionV relativeFrom="paragraph">
              <wp:posOffset>78105</wp:posOffset>
            </wp:positionV>
            <wp:extent cx="2229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32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39"/>
          <w:szCs w:val="39"/>
          <w:b w:val="1"/>
          <w:bCs w:val="1"/>
          <w:color w:val="auto"/>
        </w:rPr>
        <w:t>FTI CONSULTING, INC.</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2460625</wp:posOffset>
            </wp:positionH>
            <wp:positionV relativeFrom="paragraph">
              <wp:posOffset>229235</wp:posOffset>
            </wp:positionV>
            <wp:extent cx="2229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3460" w:type="dxa"/>
            <w:vAlign w:val="bottom"/>
          </w:tcPr>
          <w:p>
            <w:pPr>
              <w:jc w:val="center"/>
              <w:ind w:left="130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20" w:type="dxa"/>
            <w:vAlign w:val="bottom"/>
          </w:tcPr>
          <w:p>
            <w:pPr>
              <w:jc w:val="right"/>
              <w:ind w:right="2202"/>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4"/>
        </w:trPr>
        <w:tc>
          <w:tcPr>
            <w:tcW w:w="300" w:type="dxa"/>
            <w:vAlign w:val="bottom"/>
          </w:tcPr>
          <w:p>
            <w:pPr>
              <w:spacing w:after="0"/>
              <w:rPr>
                <w:sz w:val="12"/>
                <w:szCs w:val="12"/>
                <w:color w:val="auto"/>
              </w:rPr>
            </w:pPr>
          </w:p>
        </w:tc>
        <w:tc>
          <w:tcPr>
            <w:tcW w:w="3460" w:type="dxa"/>
            <w:vAlign w:val="bottom"/>
          </w:tcPr>
          <w:p>
            <w:pPr>
              <w:jc w:val="center"/>
              <w:ind w:left="1280"/>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tcPr>
          <w:p>
            <w:pPr>
              <w:jc w:val="center"/>
              <w:ind w:right="1782"/>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00" w:type="dxa"/>
            <w:vAlign w:val="bottom"/>
          </w:tcPr>
          <w:p>
            <w:pPr>
              <w:spacing w:after="0"/>
              <w:rPr>
                <w:sz w:val="16"/>
                <w:szCs w:val="16"/>
                <w:color w:val="auto"/>
              </w:rPr>
            </w:pPr>
          </w:p>
        </w:tc>
        <w:tc>
          <w:tcPr>
            <w:tcW w:w="3460" w:type="dxa"/>
            <w:vAlign w:val="bottom"/>
          </w:tcPr>
          <w:p>
            <w:pPr>
              <w:jc w:val="center"/>
              <w:ind w:left="12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20" w:type="dxa"/>
            <w:vAlign w:val="bottom"/>
          </w:tcPr>
          <w:p>
            <w:pPr>
              <w:jc w:val="center"/>
              <w:ind w:right="1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7"/>
        </w:trPr>
        <w:tc>
          <w:tcPr>
            <w:tcW w:w="300" w:type="dxa"/>
            <w:vAlign w:val="bottom"/>
          </w:tcPr>
          <w:p>
            <w:pPr>
              <w:spacing w:after="0"/>
              <w:rPr>
                <w:sz w:val="24"/>
                <w:szCs w:val="24"/>
                <w:color w:val="auto"/>
              </w:rPr>
            </w:pPr>
          </w:p>
        </w:tc>
        <w:tc>
          <w:tcPr>
            <w:tcW w:w="3460" w:type="dxa"/>
            <w:vAlign w:val="bottom"/>
          </w:tcPr>
          <w:p>
            <w:pPr>
              <w:jc w:val="center"/>
              <w:ind w:left="1300"/>
              <w:spacing w:after="0"/>
              <w:rPr>
                <w:sz w:val="20"/>
                <w:szCs w:val="20"/>
                <w:color w:val="auto"/>
              </w:rPr>
            </w:pPr>
            <w:r>
              <w:rPr>
                <w:rFonts w:ascii="Times New Roman" w:cs="Times New Roman" w:eastAsia="Times New Roman" w:hAnsi="Times New Roman"/>
                <w:sz w:val="18"/>
                <w:szCs w:val="18"/>
                <w:b w:val="1"/>
                <w:bCs w:val="1"/>
                <w:color w:val="auto"/>
                <w:w w:val="97"/>
              </w:rPr>
              <w:t>555 12th Street NW</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5"/>
        </w:trPr>
        <w:tc>
          <w:tcPr>
            <w:tcW w:w="300" w:type="dxa"/>
            <w:vAlign w:val="bottom"/>
          </w:tcPr>
          <w:p>
            <w:pPr>
              <w:spacing w:after="0"/>
              <w:rPr>
                <w:sz w:val="19"/>
                <w:szCs w:val="19"/>
                <w:color w:val="auto"/>
              </w:rPr>
            </w:pPr>
          </w:p>
        </w:tc>
        <w:tc>
          <w:tcPr>
            <w:tcW w:w="3460" w:type="dxa"/>
            <w:vAlign w:val="bottom"/>
          </w:tcPr>
          <w:p>
            <w:pPr>
              <w:jc w:val="center"/>
              <w:ind w:left="1280"/>
              <w:spacing w:after="0"/>
              <w:rPr>
                <w:sz w:val="20"/>
                <w:szCs w:val="20"/>
                <w:color w:val="auto"/>
              </w:rPr>
            </w:pPr>
            <w:r>
              <w:rPr>
                <w:rFonts w:ascii="Times New Roman" w:cs="Times New Roman" w:eastAsia="Times New Roman" w:hAnsi="Times New Roman"/>
                <w:sz w:val="18"/>
                <w:szCs w:val="18"/>
                <w:b w:val="1"/>
                <w:bCs w:val="1"/>
                <w:color w:val="auto"/>
                <w:w w:val="96"/>
              </w:rPr>
              <w:t>Washington,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21"/>
        </w:trPr>
        <w:tc>
          <w:tcPr>
            <w:tcW w:w="300" w:type="dxa"/>
            <w:vAlign w:val="bottom"/>
          </w:tcPr>
          <w:p>
            <w:pPr>
              <w:spacing w:after="0"/>
              <w:rPr>
                <w:sz w:val="19"/>
                <w:szCs w:val="19"/>
                <w:color w:val="auto"/>
              </w:rPr>
            </w:pPr>
          </w:p>
        </w:tc>
        <w:tc>
          <w:tcPr>
            <w:tcW w:w="3460" w:type="dxa"/>
            <w:vAlign w:val="bottom"/>
          </w:tcPr>
          <w:p>
            <w:pPr>
              <w:jc w:val="center"/>
              <w:ind w:left="1280"/>
              <w:spacing w:after="0"/>
              <w:rPr>
                <w:sz w:val="20"/>
                <w:szCs w:val="20"/>
                <w:color w:val="auto"/>
              </w:rPr>
            </w:pPr>
            <w:r>
              <w:rPr>
                <w:rFonts w:ascii="Times New Roman" w:cs="Times New Roman" w:eastAsia="Times New Roman" w:hAnsi="Times New Roman"/>
                <w:sz w:val="18"/>
                <w:szCs w:val="18"/>
                <w:b w:val="1"/>
                <w:bCs w:val="1"/>
                <w:color w:val="auto"/>
                <w:w w:val="99"/>
              </w:rPr>
              <w:t>DC</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20" w:type="dxa"/>
            <w:vAlign w:val="bottom"/>
          </w:tcPr>
          <w:p>
            <w:pPr>
              <w:jc w:val="right"/>
              <w:ind w:right="2402"/>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86"/>
        </w:trPr>
        <w:tc>
          <w:tcPr>
            <w:tcW w:w="300" w:type="dxa"/>
            <w:vAlign w:val="bottom"/>
          </w:tcPr>
          <w:p>
            <w:pPr>
              <w:spacing w:after="0"/>
              <w:rPr>
                <w:sz w:val="16"/>
                <w:szCs w:val="16"/>
                <w:color w:val="auto"/>
              </w:rPr>
            </w:pPr>
          </w:p>
        </w:tc>
        <w:tc>
          <w:tcPr>
            <w:tcW w:w="7140" w:type="dxa"/>
            <w:vAlign w:val="bottom"/>
            <w:gridSpan w:val="8"/>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20" w:type="dxa"/>
            <w:vAlign w:val="bottom"/>
          </w:tcPr>
          <w:p>
            <w:pPr>
              <w:jc w:val="center"/>
              <w:ind w:right="178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6"/>
        </w:trPr>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20" w:type="dxa"/>
            <w:vAlign w:val="bottom"/>
            <w:gridSpan w:val="4"/>
          </w:tcPr>
          <w:p>
            <w:pPr>
              <w:jc w:val="center"/>
              <w:ind w:left="736"/>
              <w:spacing w:after="0"/>
              <w:rPr>
                <w:sz w:val="20"/>
                <w:szCs w:val="20"/>
                <w:color w:val="auto"/>
              </w:rPr>
            </w:pPr>
            <w:r>
              <w:rPr>
                <w:rFonts w:ascii="Times New Roman" w:cs="Times New Roman" w:eastAsia="Times New Roman" w:hAnsi="Times New Roman"/>
                <w:sz w:val="18"/>
                <w:szCs w:val="18"/>
                <w:b w:val="1"/>
                <w:bCs w:val="1"/>
                <w:color w:val="auto"/>
                <w:w w:val="97"/>
              </w:rPr>
              <w:t>(202) 312-9100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1"/>
        </w:trPr>
        <w:tc>
          <w:tcPr>
            <w:tcW w:w="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520" w:type="dxa"/>
            <w:vAlign w:val="bottom"/>
          </w:tcPr>
          <w:p>
            <w:pPr>
              <w:spacing w:after="0"/>
              <w:rPr>
                <w:sz w:val="19"/>
                <w:szCs w:val="19"/>
                <w:color w:val="auto"/>
              </w:rPr>
            </w:pPr>
          </w:p>
        </w:tc>
      </w:tr>
      <w:tr>
        <w:trPr>
          <w:trHeight w:val="326"/>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0"/>
        </w:trPr>
        <w:tc>
          <w:tcPr>
            <w:tcW w:w="300" w:type="dxa"/>
            <w:vAlign w:val="bottom"/>
          </w:tcPr>
          <w:p>
            <w:pPr>
              <w:spacing w:after="0"/>
              <w:rPr>
                <w:sz w:val="24"/>
                <w:szCs w:val="24"/>
                <w:color w:val="auto"/>
              </w:rPr>
            </w:pPr>
          </w:p>
        </w:tc>
        <w:tc>
          <w:tcPr>
            <w:tcW w:w="346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520" w:type="dxa"/>
            <w:vAlign w:val="bottom"/>
          </w:tcPr>
          <w:p>
            <w:pPr>
              <w:jc w:val="center"/>
              <w:ind w:right="482"/>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5"/>
        </w:trPr>
        <w:tc>
          <w:tcPr>
            <w:tcW w:w="300" w:type="dxa"/>
            <w:vAlign w:val="bottom"/>
          </w:tcPr>
          <w:p>
            <w:pPr>
              <w:spacing w:after="0"/>
              <w:rPr>
                <w:sz w:val="17"/>
                <w:szCs w:val="17"/>
                <w:color w:val="auto"/>
              </w:rPr>
            </w:pPr>
          </w:p>
        </w:tc>
        <w:tc>
          <w:tcPr>
            <w:tcW w:w="3460" w:type="dxa"/>
            <w:vAlign w:val="bottom"/>
            <w:tcBorders>
              <w:top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Common Stock, $0.01 par value</w:t>
            </w: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FCN</w:t>
            </w:r>
          </w:p>
        </w:tc>
        <w:tc>
          <w:tcPr>
            <w:tcW w:w="2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3520" w:type="dxa"/>
            <w:vAlign w:val="bottom"/>
            <w:tcBorders>
              <w:top w:val="single" w:sz="8" w:color="auto"/>
            </w:tcBorders>
          </w:tcPr>
          <w:p>
            <w:pPr>
              <w:jc w:val="center"/>
              <w:ind w:right="482"/>
              <w:spacing w:after="0"/>
              <w:rPr>
                <w:sz w:val="20"/>
                <w:szCs w:val="20"/>
                <w:color w:val="auto"/>
              </w:rPr>
            </w:pPr>
            <w:r>
              <w:rPr>
                <w:rFonts w:ascii="Times New Roman" w:cs="Times New Roman" w:eastAsia="Times New Roman" w:hAnsi="Times New Roman"/>
                <w:sz w:val="16"/>
                <w:szCs w:val="16"/>
                <w:b w:val="1"/>
                <w:bCs w:val="1"/>
                <w:color w:val="auto"/>
                <w:w w:val="98"/>
              </w:rPr>
              <w:t>New York Stock Exchange</w:t>
            </w:r>
          </w:p>
        </w:tc>
      </w:tr>
    </w:tbl>
    <w:p>
      <w:pPr>
        <w:spacing w:after="0" w:line="68" w:lineRule="exact"/>
        <w:rPr>
          <w:sz w:val="24"/>
          <w:szCs w:val="24"/>
          <w:color w:val="auto"/>
        </w:rPr>
      </w:pPr>
    </w:p>
    <w:p>
      <w:pPr>
        <w:ind w:right="400" w:firstLine="477"/>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60" w:val="left"/>
          <w:tab w:leader="none" w:pos="128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2" w:lineRule="exact"/>
        <w:rPr>
          <w:sz w:val="24"/>
          <w:szCs w:val="24"/>
          <w:color w:val="auto"/>
        </w:rPr>
      </w:pPr>
    </w:p>
    <w:p>
      <w:pPr>
        <w:ind w:right="140" w:firstLine="477"/>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jc w:val="both"/>
        <w:ind w:right="480" w:firstLine="477"/>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ind w:right="300" w:firstLine="477"/>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80" w:right="23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Outstanding at July 17, 2025</w:t>
            </w:r>
          </w:p>
        </w:tc>
        <w:tc>
          <w:tcPr>
            <w:tcW w:w="2060" w:type="dxa"/>
            <w:vAlign w:val="bottom"/>
          </w:tcPr>
          <w:p>
            <w:pPr>
              <w:spacing w:after="0"/>
              <w:rPr>
                <w:sz w:val="16"/>
                <w:szCs w:val="16"/>
                <w:color w:val="auto"/>
              </w:rPr>
            </w:pPr>
          </w:p>
        </w:tc>
      </w:tr>
      <w:tr>
        <w:trPr>
          <w:trHeight w:val="227"/>
        </w:trPr>
        <w:tc>
          <w:tcPr>
            <w:tcW w:w="5660" w:type="dxa"/>
            <w:vAlign w:val="bottom"/>
            <w:gridSpan w:val="3"/>
          </w:tcPr>
          <w:p>
            <w:pPr>
              <w:jc w:val="center"/>
              <w:ind w:left="361"/>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352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color w:val="auto"/>
              </w:rPr>
              <w:t>32,358,170</w:t>
            </w:r>
          </w:p>
        </w:tc>
        <w:tc>
          <w:tcPr>
            <w:tcW w:w="2060" w:type="dxa"/>
            <w:vAlign w:val="bottom"/>
          </w:tcPr>
          <w:p>
            <w:pPr>
              <w:spacing w:after="0"/>
              <w:rPr>
                <w:sz w:val="19"/>
                <w:szCs w:val="19"/>
                <w:color w:val="auto"/>
              </w:rPr>
            </w:pPr>
          </w:p>
        </w:tc>
      </w:tr>
      <w:tr>
        <w:trPr>
          <w:trHeight w:val="151"/>
        </w:trPr>
        <w:tc>
          <w:tcPr>
            <w:tcW w:w="2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596"/>
        </w:trPr>
        <w:tc>
          <w:tcPr>
            <w:tcW w:w="2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1"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17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Sheets—June 30, 2025 and December 31, 2024</w:t>
      </w:r>
    </w:p>
    <w:p>
      <w:pPr>
        <w:spacing w:after="0" w:line="19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Comprehensive Income—Three and Six Months Ended June 30, 2025 and 2024</w:t>
      </w:r>
    </w:p>
    <w:p>
      <w:pPr>
        <w:spacing w:after="0" w:line="29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Equity—Three and Six Months Ended June 30, 2025 and 2024</w:t>
      </w:r>
    </w:p>
    <w:p>
      <w:pPr>
        <w:spacing w:after="0" w:line="270" w:lineRule="exact"/>
        <w:rPr>
          <w:sz w:val="20"/>
          <w:szCs w:val="20"/>
          <w:color w:val="auto"/>
        </w:rPr>
      </w:pPr>
    </w:p>
    <w:p>
      <w:pPr>
        <w:ind w:left="1060" w:right="2020"/>
        <w:spacing w:after="0" w:line="445"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Flows—Six Months Ended June 30, 2025 and 2024 Notes to Condensed Consolidated Financial Statements</w:t>
      </w:r>
    </w:p>
    <w:p>
      <w:pPr>
        <w:spacing w:after="0" w:line="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7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77"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28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8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39</w:t>
      </w:r>
    </w:p>
    <w:p>
      <w:pPr>
        <w:spacing w:after="0" w:line="1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39</w:t>
      </w:r>
    </w:p>
    <w:p>
      <w:pPr>
        <w:spacing w:after="0" w:line="545" w:lineRule="exact"/>
        <w:rPr>
          <w:sz w:val="20"/>
          <w:szCs w:val="20"/>
          <w:color w:val="auto"/>
        </w:rPr>
      </w:pPr>
    </w:p>
    <w:p>
      <w:pPr>
        <w:sectPr>
          <w:pgSz w:w="11900" w:h="16838" w:orient="portrait"/>
          <w:cols w:equalWidth="0" w:num="2">
            <w:col w:w="9940" w:space="720"/>
            <w:col w:w="580"/>
          </w:cols>
          <w:pgMar w:left="320" w:top="87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100" w:type="dxa"/>
            <w:vAlign w:val="bottom"/>
            <w:gridSpan w:val="4"/>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19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2660" w:type="dxa"/>
            <w:vAlign w:val="bottom"/>
            <w:gridSpan w:val="3"/>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4"/>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3120" w:type="dxa"/>
            <w:vAlign w:val="bottom"/>
            <w:gridSpan w:val="5"/>
          </w:tcPr>
          <w:p>
            <w:pPr>
              <w:spacing w:after="0"/>
              <w:rPr>
                <w:sz w:val="24"/>
                <w:szCs w:val="24"/>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5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855"/>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80" w:type="dxa"/>
            <w:vAlign w:val="bottom"/>
          </w:tcPr>
          <w:p>
            <w:pPr>
              <w:jc w:val="right"/>
              <w:ind w:right="5492"/>
              <w:spacing w:after="0"/>
              <w:rPr>
                <w:sz w:val="20"/>
                <w:szCs w:val="20"/>
                <w:color w:val="auto"/>
              </w:rPr>
            </w:pPr>
            <w:r>
              <w:rPr>
                <w:rFonts w:ascii="Times New Roman" w:cs="Times New Roman" w:eastAsia="Times New Roman" w:hAnsi="Times New Roman"/>
                <w:sz w:val="18"/>
                <w:szCs w:val="18"/>
                <w:color w:val="auto"/>
              </w:rPr>
              <w:t>2</w:t>
            </w:r>
          </w:p>
        </w:tc>
      </w:tr>
      <w:tr>
        <w:trPr>
          <w:trHeight w:val="112"/>
        </w:trPr>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7720" w:type="dxa"/>
            <w:vAlign w:val="bottom"/>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7"/>
              </w:rPr>
              <w:t>PART I—FINANCIAL INFORMATION</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8"/>
        </w:trPr>
        <w:tc>
          <w:tcPr>
            <w:tcW w:w="600" w:type="dxa"/>
            <w:vAlign w:val="bottom"/>
          </w:tcPr>
          <w:p>
            <w:pPr>
              <w:spacing w:after="0"/>
              <w:rPr>
                <w:sz w:val="24"/>
                <w:szCs w:val="24"/>
                <w:color w:val="auto"/>
              </w:rPr>
            </w:pPr>
          </w:p>
        </w:tc>
        <w:tc>
          <w:tcPr>
            <w:tcW w:w="7720" w:type="dxa"/>
            <w:vAlign w:val="bottom"/>
          </w:tcPr>
          <w:p>
            <w:pPr>
              <w:jc w:val="center"/>
              <w:ind w:left="2232"/>
              <w:spacing w:after="0"/>
              <w:rPr>
                <w:sz w:val="20"/>
                <w:szCs w:val="20"/>
                <w:color w:val="auto"/>
              </w:rPr>
            </w:pPr>
            <w:r>
              <w:rPr>
                <w:rFonts w:ascii="Times New Roman" w:cs="Times New Roman" w:eastAsia="Times New Roman" w:hAnsi="Times New Roman"/>
                <w:sz w:val="18"/>
                <w:szCs w:val="18"/>
                <w:b w:val="1"/>
                <w:bCs w:val="1"/>
                <w:color w:val="auto"/>
                <w:w w:val="98"/>
              </w:rPr>
              <w:t>FTI Consulting, Inc. and Subsidiaries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9"/>
        </w:trPr>
        <w:tc>
          <w:tcPr>
            <w:tcW w:w="600" w:type="dxa"/>
            <w:vAlign w:val="bottom"/>
          </w:tcPr>
          <w:p>
            <w:pPr>
              <w:spacing w:after="0"/>
              <w:rPr>
                <w:sz w:val="24"/>
                <w:szCs w:val="24"/>
                <w:color w:val="auto"/>
              </w:rPr>
            </w:pPr>
          </w:p>
        </w:tc>
        <w:tc>
          <w:tcPr>
            <w:tcW w:w="7720" w:type="dxa"/>
            <w:vAlign w:val="bottom"/>
          </w:tcPr>
          <w:p>
            <w:pPr>
              <w:jc w:val="center"/>
              <w:ind w:left="2232"/>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1"/>
        </w:trPr>
        <w:tc>
          <w:tcPr>
            <w:tcW w:w="600" w:type="dxa"/>
            <w:vAlign w:val="bottom"/>
          </w:tcPr>
          <w:p>
            <w:pPr>
              <w:spacing w:after="0"/>
              <w:rPr>
                <w:sz w:val="20"/>
                <w:szCs w:val="20"/>
                <w:color w:val="auto"/>
              </w:rPr>
            </w:pPr>
          </w:p>
        </w:tc>
        <w:tc>
          <w:tcPr>
            <w:tcW w:w="772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4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91"/>
        </w:trPr>
        <w:tc>
          <w:tcPr>
            <w:tcW w:w="6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0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6"/>
        </w:trPr>
        <w:tc>
          <w:tcPr>
            <w:tcW w:w="60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660,493</w:t>
            </w:r>
          </w:p>
        </w:tc>
      </w:tr>
      <w:tr>
        <w:trPr>
          <w:trHeight w:val="225"/>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1,020,174</w:t>
            </w:r>
          </w:p>
        </w:tc>
      </w:tr>
      <w:tr>
        <w:trPr>
          <w:trHeight w:val="225"/>
        </w:trPr>
        <w:tc>
          <w:tcPr>
            <w:tcW w:w="8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25"/>
        </w:trPr>
        <w:tc>
          <w:tcPr>
            <w:tcW w:w="83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93,953</w:t>
            </w:r>
          </w:p>
        </w:tc>
      </w:tr>
      <w:tr>
        <w:trPr>
          <w:trHeight w:val="219"/>
        </w:trPr>
        <w:tc>
          <w:tcPr>
            <w:tcW w:w="6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1,819,514</w:t>
            </w: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150,295</w:t>
            </w: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1,226,556</w:t>
            </w: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109,119</w:t>
            </w: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76,258</w:t>
            </w:r>
          </w:p>
        </w:tc>
      </w:tr>
      <w:tr>
        <w:trPr>
          <w:trHeight w:val="218"/>
        </w:trPr>
        <w:tc>
          <w:tcPr>
            <w:tcW w:w="60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3,494,160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3,596,830</w:t>
            </w: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832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224,394</w:t>
            </w:r>
          </w:p>
        </w:tc>
      </w:tr>
      <w:tr>
        <w:trPr>
          <w:trHeight w:val="225"/>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639,745</w:t>
            </w:r>
          </w:p>
        </w:tc>
      </w:tr>
      <w:tr>
        <w:trPr>
          <w:trHeight w:val="225"/>
        </w:trPr>
        <w:tc>
          <w:tcPr>
            <w:tcW w:w="8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w:t>
            </w:r>
          </w:p>
        </w:tc>
      </w:tr>
      <w:tr>
        <w:trPr>
          <w:trHeight w:val="219"/>
        </w:trPr>
        <w:tc>
          <w:tcPr>
            <w:tcW w:w="60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931,759</w:t>
            </w: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208,036</w:t>
            </w: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111,825</w:t>
            </w:r>
          </w:p>
        </w:tc>
      </w:tr>
      <w:tr>
        <w:trPr>
          <w:trHeight w:val="225"/>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86,920</w:t>
            </w:r>
          </w:p>
        </w:tc>
      </w:tr>
      <w:tr>
        <w:trPr>
          <w:trHeight w:val="218"/>
        </w:trPr>
        <w:tc>
          <w:tcPr>
            <w:tcW w:w="6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1,338,540</w:t>
            </w:r>
          </w:p>
        </w:tc>
      </w:tr>
      <w:tr>
        <w:trPr>
          <w:trHeight w:val="205"/>
        </w:trPr>
        <w:tc>
          <w:tcPr>
            <w:tcW w:w="832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0"/>
        </w:trPr>
        <w:tc>
          <w:tcPr>
            <w:tcW w:w="832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8"/>
                <w:szCs w:val="18"/>
                <w:color w:val="auto"/>
              </w:rPr>
              <w:t>Preferred stock, $0.01 par value; shares authorized — 5,000; none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600" w:type="dxa"/>
            <w:vAlign w:val="bottom"/>
          </w:tcPr>
          <w:p>
            <w:pPr>
              <w:spacing w:after="0"/>
              <w:rPr>
                <w:sz w:val="20"/>
                <w:szCs w:val="20"/>
                <w:color w:val="auto"/>
              </w:rPr>
            </w:pP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8320" w:type="dxa"/>
            <w:vAlign w:val="bottom"/>
            <w:gridSpan w:val="2"/>
            <w:shd w:val="clear" w:color="auto" w:fill="CCEEFF"/>
          </w:tcPr>
          <w:p>
            <w:pPr>
              <w:ind w:left="500"/>
              <w:spacing w:after="0" w:line="181" w:lineRule="exact"/>
              <w:rPr>
                <w:sz w:val="20"/>
                <w:szCs w:val="20"/>
                <w:color w:val="auto"/>
              </w:rPr>
            </w:pPr>
            <w:r>
              <w:rPr>
                <w:rFonts w:ascii="Times New Roman" w:cs="Times New Roman" w:eastAsia="Times New Roman" w:hAnsi="Times New Roman"/>
                <w:sz w:val="18"/>
                <w:szCs w:val="18"/>
                <w:color w:val="auto"/>
              </w:rPr>
              <w:t>Common stock, $0.01 par value; shares authorized — 75,000; shares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600" w:type="dxa"/>
            <w:vAlign w:val="bottom"/>
            <w:shd w:val="clear" w:color="auto" w:fill="CCEEFF"/>
          </w:tcPr>
          <w:p>
            <w:pPr>
              <w:spacing w:after="0"/>
              <w:rPr>
                <w:sz w:val="20"/>
                <w:szCs w:val="20"/>
                <w:color w:val="auto"/>
              </w:rPr>
            </w:pPr>
          </w:p>
        </w:tc>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issued and outstanding 32,727 (2025) and 35,913 (2024)</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5"/>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w:t>
            </w:r>
          </w:p>
        </w:tc>
      </w:tr>
      <w:tr>
        <w:trPr>
          <w:trHeight w:val="225"/>
        </w:trPr>
        <w:tc>
          <w:tcPr>
            <w:tcW w:w="8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2,394,853</w:t>
            </w:r>
          </w:p>
        </w:tc>
      </w:tr>
      <w:tr>
        <w:trPr>
          <w:trHeight w:val="225"/>
        </w:trPr>
        <w:tc>
          <w:tcPr>
            <w:tcW w:w="83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(176,572)</w:t>
            </w:r>
          </w:p>
        </w:tc>
      </w:tr>
      <w:tr>
        <w:trPr>
          <w:trHeight w:val="219"/>
        </w:trPr>
        <w:tc>
          <w:tcPr>
            <w:tcW w:w="600" w:type="dxa"/>
            <w:vAlign w:val="bottom"/>
            <w:shd w:val="clear" w:color="auto" w:fill="CCEEFF"/>
          </w:tcPr>
          <w:p>
            <w:pPr>
              <w:spacing w:after="0"/>
              <w:rPr>
                <w:sz w:val="19"/>
                <w:szCs w:val="19"/>
                <w:color w:val="auto"/>
              </w:rPr>
            </w:pPr>
          </w:p>
        </w:tc>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2,258,290</w:t>
            </w:r>
          </w:p>
        </w:tc>
      </w:tr>
      <w:tr>
        <w:trPr>
          <w:trHeight w:val="218"/>
        </w:trPr>
        <w:tc>
          <w:tcPr>
            <w:tcW w:w="600" w:type="dxa"/>
            <w:vAlign w:val="bottom"/>
          </w:tcPr>
          <w:p>
            <w:pPr>
              <w:spacing w:after="0"/>
              <w:rPr>
                <w:sz w:val="19"/>
                <w:szCs w:val="19"/>
                <w:color w:val="auto"/>
              </w:rPr>
            </w:pPr>
          </w:p>
        </w:tc>
        <w:tc>
          <w:tcPr>
            <w:tcW w:w="7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3,494,160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3,596,830</w:t>
            </w:r>
          </w:p>
        </w:tc>
      </w:tr>
      <w:tr>
        <w:trPr>
          <w:trHeight w:val="20"/>
        </w:trPr>
        <w:tc>
          <w:tcPr>
            <w:tcW w:w="6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 w:name="page4"/>
    <w:bookmarkEnd w:id="3"/>
    <w:p>
      <w:pPr>
        <w:ind w:left="420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943,662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949,156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1,877,709</w:t>
            </w: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1,263,783</w:t>
            </w:r>
          </w:p>
        </w:tc>
        <w:tc>
          <w:tcPr>
            <w:tcW w:w="0" w:type="dxa"/>
            <w:vAlign w:val="bottom"/>
          </w:tcPr>
          <w:p>
            <w:pPr>
              <w:spacing w:after="0"/>
              <w:rPr>
                <w:sz w:val="1"/>
                <w:szCs w:val="1"/>
                <w:color w:val="auto"/>
              </w:rPr>
            </w:pPr>
          </w:p>
        </w:tc>
      </w:tr>
      <w:tr>
        <w:trPr>
          <w:trHeight w:val="265"/>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408,105</w:t>
            </w: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1,673,984</w:t>
            </w: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203,725</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65"/>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18"/>
        </w:trPr>
        <w:tc>
          <w:tcPr>
            <w:tcW w:w="5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202,177</w:t>
            </w:r>
          </w:p>
        </w:tc>
        <w:tc>
          <w:tcPr>
            <w:tcW w:w="0" w:type="dxa"/>
            <w:vAlign w:val="bottom"/>
          </w:tcPr>
          <w:p>
            <w:pPr>
              <w:spacing w:after="0"/>
              <w:rPr>
                <w:sz w:val="1"/>
                <w:szCs w:val="1"/>
                <w:color w:val="auto"/>
              </w:rPr>
            </w:pPr>
          </w:p>
        </w:tc>
      </w:tr>
      <w:tr>
        <w:trPr>
          <w:trHeight w:val="26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38,265</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 of $0</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 w:name="page5"/>
    <w:bookmarkEnd w:id="4"/>
    <w:p>
      <w:pPr>
        <w:ind w:left="420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2340" w:type="dxa"/>
            <w:vAlign w:val="bottom"/>
            <w:gridSpan w:val="4"/>
            <w:vMerge w:val="restart"/>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3600" w:type="dxa"/>
            <w:vAlign w:val="bottom"/>
          </w:tcPr>
          <w:p>
            <w:pPr>
              <w:spacing w:after="0"/>
              <w:rPr>
                <w:sz w:val="3"/>
                <w:szCs w:val="3"/>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1"/>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2,394,853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top w:val="single" w:sz="8" w:color="CCEEFF"/>
            </w:tcBorders>
            <w:vMerge w:val="continue"/>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61,824</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61,824</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settled shares of 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0" w:type="dxa"/>
            <w:vAlign w:val="bottom"/>
          </w:tcPr>
          <w:p>
            <w:pPr>
              <w:spacing w:after="0"/>
              <w:rPr>
                <w:sz w:val="1"/>
                <w:szCs w:val="1"/>
                <w:color w:val="auto"/>
              </w:rPr>
            </w:pPr>
          </w:p>
        </w:tc>
      </w:tr>
      <w:tr>
        <w:trPr>
          <w:trHeight w:val="159"/>
        </w:trPr>
        <w:tc>
          <w:tcPr>
            <w:tcW w:w="360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(187,676)</w:t>
            </w:r>
          </w:p>
        </w:tc>
        <w:tc>
          <w:tcPr>
            <w:tcW w:w="0" w:type="dxa"/>
            <w:vAlign w:val="bottom"/>
          </w:tcPr>
          <w:p>
            <w:pPr>
              <w:spacing w:after="0"/>
              <w:rPr>
                <w:sz w:val="1"/>
                <w:szCs w:val="1"/>
                <w:color w:val="auto"/>
              </w:rPr>
            </w:pPr>
          </w:p>
        </w:tc>
      </w:tr>
      <w:tr>
        <w:trPr>
          <w:trHeight w:val="210"/>
        </w:trPr>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159"/>
        </w:trPr>
        <w:tc>
          <w:tcPr>
            <w:tcW w:w="360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2,149,638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top w:val="single" w:sz="8" w:color="CCEEFF"/>
            </w:tcBorders>
            <w:vMerge w:val="continue"/>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71,698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71,698</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33,773</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187"/>
        </w:trPr>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settled shares of 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0" w:type="dxa"/>
            <w:vAlign w:val="bottom"/>
          </w:tcPr>
          <w:p>
            <w:pPr>
              <w:spacing w:after="0"/>
              <w:rPr>
                <w:sz w:val="1"/>
                <w:szCs w:val="1"/>
                <w:color w:val="auto"/>
              </w:rPr>
            </w:pPr>
          </w:p>
        </w:tc>
      </w:tr>
      <w:tr>
        <w:trPr>
          <w:trHeight w:val="159"/>
        </w:trPr>
        <w:tc>
          <w:tcPr>
            <w:tcW w:w="360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(358,240)</w:t>
            </w:r>
          </w:p>
        </w:tc>
        <w:tc>
          <w:tcPr>
            <w:tcW w:w="0" w:type="dxa"/>
            <w:vAlign w:val="bottom"/>
          </w:tcPr>
          <w:p>
            <w:pPr>
              <w:spacing w:after="0"/>
              <w:rPr>
                <w:sz w:val="1"/>
                <w:szCs w:val="1"/>
                <w:color w:val="auto"/>
              </w:rPr>
            </w:pPr>
          </w:p>
        </w:tc>
      </w:tr>
      <w:tr>
        <w:trPr>
          <w:trHeight w:val="210"/>
        </w:trPr>
        <w:tc>
          <w:tcPr>
            <w:tcW w:w="3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0" w:type="dxa"/>
            <w:vAlign w:val="bottom"/>
          </w:tcPr>
          <w:p>
            <w:pPr>
              <w:spacing w:after="0"/>
              <w:rPr>
                <w:sz w:val="1"/>
                <w:szCs w:val="1"/>
                <w:color w:val="auto"/>
              </w:rPr>
            </w:pPr>
          </w:p>
        </w:tc>
      </w:tr>
      <w:tr>
        <w:trPr>
          <w:trHeight w:val="210"/>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Reclassification of negative additional paid-in capital</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1,899,881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2340" w:type="dxa"/>
            <w:vAlign w:val="bottom"/>
            <w:gridSpan w:val="4"/>
            <w:vMerge w:val="restart"/>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600" w:type="dxa"/>
            <w:vAlign w:val="bottom"/>
          </w:tcPr>
          <w:p>
            <w:pPr>
              <w:spacing w:after="0"/>
              <w:rPr>
                <w:sz w:val="3"/>
                <w:szCs w:val="3"/>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1"/>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1,981,420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top w:val="single" w:sz="8" w:color="CCEEFF"/>
            </w:tcBorders>
            <w:vMerge w:val="continue"/>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79,965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79,965</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420"/>
              <w:spacing w:after="0" w:line="161" w:lineRule="exact"/>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settled shares of 57</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0" w:type="dxa"/>
            <w:vAlign w:val="bottom"/>
          </w:tcPr>
          <w:p>
            <w:pPr>
              <w:spacing w:after="0"/>
              <w:rPr>
                <w:sz w:val="1"/>
                <w:szCs w:val="1"/>
                <w:color w:val="auto"/>
              </w:rPr>
            </w:pPr>
          </w:p>
        </w:tc>
      </w:tr>
      <w:tr>
        <w:trPr>
          <w:trHeight w:val="23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2,054,356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tcBorders>
              <w:top w:val="single" w:sz="8" w:color="CCEEFF"/>
            </w:tcBorders>
            <w:vMerge w:val="continue"/>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83,947</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83,947</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161"/>
        </w:trPr>
        <w:tc>
          <w:tcPr>
            <w:tcW w:w="360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Issuance of common stock in connection</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0" w:type="dxa"/>
            <w:vAlign w:val="bottom"/>
          </w:tcPr>
          <w:p>
            <w:pPr>
              <w:spacing w:after="0"/>
              <w:rPr>
                <w:sz w:val="1"/>
                <w:szCs w:val="1"/>
                <w:color w:val="auto"/>
              </w:rPr>
            </w:pPr>
          </w:p>
        </w:tc>
      </w:tr>
      <w:tr>
        <w:trPr>
          <w:trHeight w:val="200"/>
        </w:trPr>
        <w:tc>
          <w:tcPr>
            <w:tcW w:w="3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settled shares of 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10"/>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w:t>
            </w:r>
          </w:p>
        </w:tc>
        <w:tc>
          <w:tcPr>
            <w:tcW w:w="0" w:type="dxa"/>
            <w:vAlign w:val="bottom"/>
          </w:tcPr>
          <w:p>
            <w:pPr>
              <w:spacing w:after="0"/>
              <w:rPr>
                <w:sz w:val="1"/>
                <w:szCs w:val="1"/>
                <w:color w:val="auto"/>
              </w:rPr>
            </w:pPr>
          </w:p>
        </w:tc>
      </w:tr>
      <w:tr>
        <w:trPr>
          <w:trHeight w:val="232"/>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2,149,380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 w:name="page7"/>
    <w:bookmarkEnd w:id="6"/>
    <w:p>
      <w:pPr>
        <w:ind w:left="420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163,912</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notes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billed and unbilled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(115,106)</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Notes receivable, net of repayments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(70,157)</w:t>
            </w:r>
          </w:p>
        </w:tc>
        <w:tc>
          <w:tcPr>
            <w:tcW w:w="0" w:type="dxa"/>
            <w:vAlign w:val="bottom"/>
          </w:tcPr>
          <w:p>
            <w:pPr>
              <w:spacing w:after="0"/>
              <w:rPr>
                <w:sz w:val="1"/>
                <w:szCs w:val="1"/>
                <w:color w:val="auto"/>
              </w:rPr>
            </w:pPr>
          </w:p>
        </w:tc>
      </w:tr>
      <w:tr>
        <w:trPr>
          <w:trHeight w:val="225"/>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25"/>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(145,509)</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(139,592)</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Maturity of short-term investment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0" w:type="dxa"/>
            <w:vAlign w:val="bottom"/>
          </w:tcPr>
          <w:p>
            <w:pPr>
              <w:spacing w:after="0"/>
              <w:rPr>
                <w:sz w:val="1"/>
                <w:szCs w:val="1"/>
                <w:color w:val="auto"/>
              </w:rPr>
            </w:pPr>
          </w:p>
        </w:tc>
      </w:tr>
      <w:tr>
        <w:trPr>
          <w:trHeight w:val="219"/>
        </w:trPr>
        <w:tc>
          <w:tcPr>
            <w:tcW w:w="832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tax withholdings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on stock option exercises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Deposits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58,317</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303,222</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paid for income taxes and tax credits, net of refunds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Issuance of stock units under incentive compensation plans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Excise tax on purchase and retirement of common stock</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8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additions to property and equipment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ind w:left="420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 and share amounts in tables in thousands, except per share data)</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66" w:lineRule="exact"/>
        <w:rPr>
          <w:sz w:val="20"/>
          <w:szCs w:val="20"/>
          <w:color w:val="auto"/>
        </w:rPr>
      </w:pPr>
    </w:p>
    <w:p>
      <w:pPr>
        <w:ind w:right="40" w:firstLine="477"/>
        <w:spacing w:after="0" w:line="24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FTI Consulting, Inc., including its consolidated subsidiaries (collectively, the “Company,” “we,” “our” or “FTI Consulting”), presented herein, have been prepared in accordance with generally accepted accounting principles in the United States (“GAAP”) and under the rules and regulations of the Securities and Exchange Commission (“SEC”) for interim financial information. Some of the information and footnote disclosures normally included in annual financial statements have been condensed or omitted pursuant to those rules and regulations. Certain prior period amounts have been reclassified to conform to the current period presentation. In management’s opinion, the interim financial statements reflect all adjustments that are necessary for a fair presentation of the results for the interim periods presented. All adjustments made were normal recurring accruals. The fair values of all financial instruments are estimated to be equal to their carrying values as of June 30, 2025 and December 31, 2024. Results of operations for the interim periods presented herein are not necessarily indicative of results of operations for a full year. These financial statements should be read in conjunction with the consolidated financial statements and the notes thereto contained in our Annual Report on Form 10-K for the year ended December 31, 2024 filed with the SEC.</w:t>
      </w:r>
    </w:p>
    <w:p>
      <w:pPr>
        <w:spacing w:after="0" w:line="140"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Part II, Item 8, of our Annual Report on Form 10-K for the year ended December 31, 2024 describes the significant accounting policies and methods used in preparation of the Condensed Consolidated Financial Statements in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164" w:lineRule="exact"/>
        <w:rPr>
          <w:sz w:val="20"/>
          <w:szCs w:val="20"/>
          <w:color w:val="auto"/>
        </w:rPr>
      </w:pPr>
    </w:p>
    <w:p>
      <w:pPr>
        <w:ind w:firstLine="477"/>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Improvements to Income Tax Disclosures</w:t>
      </w:r>
      <w:r>
        <w:rPr>
          <w:rFonts w:ascii="Times New Roman" w:cs="Times New Roman" w:eastAsia="Times New Roman" w:hAnsi="Times New Roman"/>
          <w:sz w:val="18"/>
          <w:szCs w:val="18"/>
          <w:color w:val="auto"/>
        </w:rPr>
        <w:t>, which expands annual disclosures in an entity’s income tax rate reconciliation table and requires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regarding cash taxes paid both in the United States (“U.S.”) (federal, state and local) and foreign jurisdictions. The amendments in this ASU are effective for annual periods beginning after December 15, 2024, although early adoption is permitted. The Company is in the process of evaluating the impact of this new guidance on its consolidated financial statements.</w:t>
      </w:r>
    </w:p>
    <w:p>
      <w:pPr>
        <w:spacing w:after="0" w:line="128" w:lineRule="exact"/>
        <w:rPr>
          <w:sz w:val="20"/>
          <w:szCs w:val="20"/>
          <w:color w:val="auto"/>
        </w:rPr>
      </w:pPr>
    </w:p>
    <w:p>
      <w:pPr>
        <w:ind w:right="240" w:firstLine="477"/>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additional, disaggregated disclosure around certain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p>
      <w:pPr>
        <w:spacing w:after="0" w:line="166" w:lineRule="exact"/>
        <w:rPr>
          <w:sz w:val="20"/>
          <w:szCs w:val="20"/>
          <w:color w:val="auto"/>
        </w:rPr>
      </w:pPr>
    </w:p>
    <w:p>
      <w:pPr>
        <w:ind w:right="60" w:firstLine="477"/>
        <w:spacing w:after="0" w:line="274" w:lineRule="auto"/>
        <w:rPr>
          <w:sz w:val="20"/>
          <w:szCs w:val="20"/>
          <w:color w:val="auto"/>
        </w:rPr>
      </w:pPr>
      <w:r>
        <w:rPr>
          <w:rFonts w:ascii="Times New Roman" w:cs="Times New Roman" w:eastAsia="Times New Roman" w:hAnsi="Times New Roman"/>
          <w:sz w:val="17"/>
          <w:szCs w:val="17"/>
          <w:color w:val="auto"/>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9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71,698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163,912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53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5"/>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35,099</w:t>
            </w:r>
          </w:p>
        </w:tc>
      </w:tr>
      <w:tr>
        <w:trPr>
          <w:trHeight w:val="225"/>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5"/>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8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33,591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820" w:type="dxa"/>
            <w:vAlign w:val="bottom"/>
            <w:tcBorders>
              <w:bottom w:val="single" w:sz="8" w:color="auto"/>
            </w:tcBorders>
          </w:tcPr>
          <w:p>
            <w:pPr>
              <w:jc w:val="right"/>
              <w:ind w:right="639"/>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Antidilutive stock options and share-based awards</w:t>
            </w: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66" w:lineRule="exact"/>
        <w:rPr>
          <w:sz w:val="20"/>
          <w:szCs w:val="20"/>
          <w:color w:val="auto"/>
        </w:rPr>
      </w:pPr>
    </w:p>
    <w:p>
      <w:pPr>
        <w:ind w:right="120" w:firstLine="477"/>
        <w:spacing w:after="0" w:line="252" w:lineRule="auto"/>
        <w:rPr>
          <w:sz w:val="20"/>
          <w:szCs w:val="20"/>
          <w:color w:val="auto"/>
        </w:rPr>
      </w:pPr>
      <w:r>
        <w:rPr>
          <w:rFonts w:ascii="Times New Roman" w:cs="Times New Roman" w:eastAsia="Times New Roman" w:hAnsi="Times New Roman"/>
          <w:sz w:val="18"/>
          <w:szCs w:val="18"/>
          <w:color w:val="auto"/>
        </w:rPr>
        <w:t>We generate the majority of our revenues by providing consulting services to our clients. 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w:t>
      </w:r>
    </w:p>
    <w:p>
      <w:pPr>
        <w:spacing w:after="0" w:line="132" w:lineRule="exact"/>
        <w:rPr>
          <w:sz w:val="20"/>
          <w:szCs w:val="20"/>
          <w:color w:val="auto"/>
        </w:rPr>
      </w:pPr>
    </w:p>
    <w:p>
      <w:pPr>
        <w:ind w:right="40" w:firstLine="477"/>
        <w:spacing w:after="0" w:line="271" w:lineRule="auto"/>
        <w:rPr>
          <w:sz w:val="20"/>
          <w:szCs w:val="20"/>
          <w:color w:val="auto"/>
        </w:rPr>
      </w:pPr>
      <w:r>
        <w:rPr>
          <w:rFonts w:ascii="Times New Roman" w:cs="Times New Roman" w:eastAsia="Times New Roman" w:hAnsi="Times New Roman"/>
          <w:sz w:val="17"/>
          <w:szCs w:val="17"/>
          <w:color w:val="auto"/>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$13.5 million and $15.9 million for the three and six months ended June 30, 2025, respectively, and $8.9 million and $11.2 million for the three and six months ended June 30, 2024, respectively.</w:t>
      </w:r>
    </w:p>
    <w:p>
      <w:pPr>
        <w:spacing w:after="0" w:line="115" w:lineRule="exact"/>
        <w:rPr>
          <w:sz w:val="20"/>
          <w:szCs w:val="20"/>
          <w:color w:val="auto"/>
        </w:rPr>
      </w:pPr>
    </w:p>
    <w:p>
      <w:pPr>
        <w:ind w:right="20" w:firstLine="477"/>
        <w:spacing w:after="0" w:line="271" w:lineRule="auto"/>
        <w:rPr>
          <w:sz w:val="20"/>
          <w:szCs w:val="20"/>
          <w:color w:val="auto"/>
        </w:rPr>
      </w:pPr>
      <w:r>
        <w:rPr>
          <w:rFonts w:ascii="Times New Roman" w:cs="Times New Roman" w:eastAsia="Times New Roman" w:hAnsi="Times New Roman"/>
          <w:sz w:val="17"/>
          <w:szCs w:val="17"/>
          <w:color w:val="auto"/>
        </w:rPr>
        <w:t>Unfulfilled performance obligations primarily consist of fees not yet recognized on certain fixed-fee, performance-based and contingent arrangements. As of June 30, 2025 and December 31, 2024, the aggregate amount of the remaining contract transaction price allocated to unfulfilled performance obligations was $24.5 million and $25.5 million, respectively. We expect to recognize the majority of the related revenues over the next 24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spacing w:after="0" w:line="115" w:lineRule="exact"/>
        <w:rPr>
          <w:sz w:val="20"/>
          <w:szCs w:val="20"/>
          <w:color w:val="auto"/>
        </w:rPr>
      </w:pPr>
    </w:p>
    <w:p>
      <w:pPr>
        <w:ind w:right="100" w:firstLine="477"/>
        <w:spacing w:after="0" w:line="304" w:lineRule="auto"/>
        <w:rPr>
          <w:sz w:val="20"/>
          <w:szCs w:val="20"/>
          <w:color w:val="auto"/>
        </w:rPr>
      </w:pPr>
      <w:r>
        <w:rPr>
          <w:rFonts w:ascii="Times New Roman" w:cs="Times New Roman" w:eastAsia="Times New Roman" w:hAnsi="Times New Roman"/>
          <w:sz w:val="17"/>
          <w:szCs w:val="17"/>
          <w:color w:val="auto"/>
        </w:rPr>
        <w:t>Contract assets are defined as assets for which we have recorded revenues but are not yet entitled to receive our fees because certain events, such as completion of the measurement period or client approval, must occur. The contract asset balance was immaterial as of June 30, 2025 and December 31, 2024.</w:t>
      </w:r>
    </w:p>
    <w:p>
      <w:pPr>
        <w:spacing w:after="0" w:line="88" w:lineRule="exact"/>
        <w:rPr>
          <w:sz w:val="20"/>
          <w:szCs w:val="20"/>
          <w:color w:val="auto"/>
        </w:rPr>
      </w:pPr>
    </w:p>
    <w:p>
      <w:pPr>
        <w:ind w:right="240" w:firstLine="477"/>
        <w:spacing w:after="0" w:line="274" w:lineRule="auto"/>
        <w:rPr>
          <w:sz w:val="20"/>
          <w:szCs w:val="20"/>
          <w:color w:val="auto"/>
        </w:rPr>
      </w:pPr>
      <w:r>
        <w:rPr>
          <w:rFonts w:ascii="Times New Roman" w:cs="Times New Roman" w:eastAsia="Times New Roman" w:hAnsi="Times New Roman"/>
          <w:sz w:val="18"/>
          <w:szCs w:val="18"/>
          <w:color w:val="auto"/>
        </w:rPr>
        <w:t>Contract liabilities are defined as liabilities incurred when we have received consideration but have not yet performed the agreed-upon services. This may occur when clients pay fees before work begins. The contract liability balance was immaterial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Accounts Receivable and Allowance for Expected Credit Losses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receivable, net” as presented on the Condensed Consolidated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receivables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742,504</w:t>
            </w:r>
          </w:p>
        </w:tc>
      </w:tr>
      <w:tr>
        <w:trPr>
          <w:trHeight w:val="225"/>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368,216</w:t>
            </w:r>
          </w:p>
        </w:tc>
      </w:tr>
      <w:tr>
        <w:trPr>
          <w:trHeight w:val="225"/>
        </w:trPr>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4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1,020,174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total provision for expected credit losses and write-offs: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19,923</w:t>
            </w:r>
          </w:p>
        </w:tc>
      </w:tr>
      <w:tr>
        <w:trPr>
          <w:trHeight w:val="23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Pr>
          <w:p>
            <w:pPr>
              <w:spacing w:after="0"/>
              <w:rPr>
                <w:sz w:val="20"/>
                <w:szCs w:val="20"/>
                <w:color w:val="auto"/>
              </w:rPr>
            </w:pPr>
          </w:p>
        </w:tc>
        <w:tc>
          <w:tcPr>
            <w:tcW w:w="90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tcPr>
          <w:p>
            <w:pPr>
              <w:spacing w:after="0"/>
              <w:rPr>
                <w:sz w:val="20"/>
                <w:szCs w:val="20"/>
                <w:color w:val="auto"/>
              </w:rPr>
            </w:pPr>
          </w:p>
        </w:tc>
        <w:tc>
          <w:tcPr>
            <w:tcW w:w="860" w:type="dxa"/>
            <w:vAlign w:val="bottom"/>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14,047</w:t>
            </w:r>
          </w:p>
        </w:tc>
        <w:tc>
          <w:tcPr>
            <w:tcW w:w="100" w:type="dxa"/>
            <w:vAlign w:val="bottom"/>
          </w:tcPr>
          <w:p>
            <w:pPr>
              <w:spacing w:after="0"/>
              <w:rPr>
                <w:sz w:val="20"/>
                <w:szCs w:val="20"/>
                <w:color w:val="auto"/>
              </w:rPr>
            </w:pPr>
          </w:p>
        </w:tc>
        <w:tc>
          <w:tcPr>
            <w:tcW w:w="84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19,881</w:t>
            </w:r>
          </w:p>
        </w:tc>
      </w:tr>
    </w:tbl>
    <w:p>
      <w:pPr>
        <w:spacing w:after="0" w:line="214" w:lineRule="exact"/>
        <w:rPr>
          <w:sz w:val="20"/>
          <w:szCs w:val="20"/>
          <w:color w:val="auto"/>
        </w:rPr>
      </w:pPr>
    </w:p>
    <w:p>
      <w:pPr>
        <w:ind w:right="100" w:firstLine="477"/>
        <w:spacing w:after="0" w:line="274" w:lineRule="auto"/>
        <w:rPr>
          <w:sz w:val="20"/>
          <w:szCs w:val="20"/>
          <w:color w:val="auto"/>
        </w:rPr>
      </w:pPr>
      <w:r>
        <w:rPr>
          <w:rFonts w:ascii="Times New Roman" w:cs="Times New Roman" w:eastAsia="Times New Roman" w:hAnsi="Times New Roman"/>
          <w:sz w:val="18"/>
          <w:szCs w:val="18"/>
          <w:color w:val="auto"/>
        </w:rPr>
        <w:t>Our provision for expected credit losses includes recoveries, direct write-offs and charges to other accounts. Billed accounts receivables are written off when the potential for recovery is considered remote.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Special Charges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months ended June 30, 2025.</w:t>
      </w:r>
    </w:p>
    <w:p>
      <w:pPr>
        <w:spacing w:after="0" w:line="164" w:lineRule="exact"/>
        <w:rPr>
          <w:sz w:val="20"/>
          <w:szCs w:val="20"/>
          <w:color w:val="auto"/>
        </w:rPr>
      </w:pPr>
    </w:p>
    <w:p>
      <w:pPr>
        <w:ind w:right="80" w:firstLine="477"/>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we recorded special charges of $25.3 million related to targeted headcount reductions in each segment and region where we realigned our workforce with current business demand for our consulting services. The special charges concluded as of March 31, 2025. A portion of the special charges was paid during the six months ended June 30, 2025 and the remaining amounts will be paid in cash in the next nine months. These amounts are included in “Accounts payable, accrued expenses and other” on our Condensed Consolidated Balance Sheets.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details the special charges by segment: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9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24"/>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Finance &amp; Restructuring (“Corporate Finance”)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25"/>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Forensic and Litigation Consulting (“FLC”)</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Consulting</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5"/>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45"/>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18"/>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0"/>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by reportable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FLC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20" w:type="dxa"/>
            <w:vAlign w:val="bottom"/>
          </w:tcPr>
          <w:p>
            <w:pPr>
              <w:spacing w:after="0"/>
              <w:rPr>
                <w:sz w:val="13"/>
                <w:szCs w:val="13"/>
                <w:color w:val="auto"/>
              </w:rPr>
            </w:pPr>
          </w:p>
        </w:tc>
        <w:tc>
          <w:tcPr>
            <w:tcW w:w="90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4"/>
                <w:szCs w:val="14"/>
                <w:b w:val="1"/>
                <w:bCs w:val="1"/>
                <w:color w:val="auto"/>
                <w:w w:val="96"/>
              </w:rPr>
              <w:t xml:space="preserve">Consulting </w:t>
            </w:r>
            <w:r>
              <w:rPr>
                <w:rFonts w:ascii="Times New Roman" w:cs="Times New Roman" w:eastAsia="Times New Roman" w:hAnsi="Times New Roman"/>
                <w:sz w:val="18"/>
                <w:szCs w:val="18"/>
                <w:b w:val="1"/>
                <w:bCs w:val="1"/>
                <w:color w:val="auto"/>
                <w:w w:val="96"/>
                <w:vertAlign w:val="superscript"/>
              </w:rPr>
              <w:t>(1)</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4"/>
                <w:szCs w:val="14"/>
                <w:b w:val="1"/>
                <w:bCs w:val="1"/>
                <w:color w:val="auto"/>
                <w:w w:val="97"/>
              </w:rPr>
              <w:t xml:space="preserve">Communications </w:t>
            </w:r>
            <w:r>
              <w:rPr>
                <w:rFonts w:ascii="Times New Roman" w:cs="Times New Roman" w:eastAsia="Times New Roman" w:hAnsi="Times New Roman"/>
                <w:sz w:val="18"/>
                <w:szCs w:val="18"/>
                <w:b w:val="1"/>
                <w:bCs w:val="1"/>
                <w:color w:val="auto"/>
                <w:w w:val="97"/>
                <w:vertAlign w:val="superscript"/>
              </w:rPr>
              <w:t>(2)</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1,226,556</w:t>
            </w:r>
          </w:p>
        </w:tc>
        <w:tc>
          <w:tcPr>
            <w:tcW w:w="0" w:type="dxa"/>
            <w:vAlign w:val="bottom"/>
          </w:tcPr>
          <w:p>
            <w:pPr>
              <w:spacing w:after="0"/>
              <w:rPr>
                <w:sz w:val="1"/>
                <w:szCs w:val="1"/>
                <w:color w:val="auto"/>
              </w:rPr>
            </w:pPr>
          </w:p>
        </w:tc>
      </w:tr>
      <w:tr>
        <w:trPr>
          <w:trHeight w:val="172"/>
        </w:trPr>
        <w:tc>
          <w:tcPr>
            <w:tcW w:w="316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1,242,900</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18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40" w:right="420" w:hanging="634"/>
        <w:spacing w:after="0" w:line="225" w:lineRule="auto"/>
        <w:tabs>
          <w:tab w:leader="none" w:pos="25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accumulated impairment losses for the Corporate Finance, FLC, Economic Consulting or Technology segments as of June 30, 2025 and December 31, 2024.</w:t>
      </w:r>
    </w:p>
    <w:p>
      <w:pPr>
        <w:spacing w:after="0" w:line="141" w:lineRule="exact"/>
        <w:rPr>
          <w:rFonts w:ascii="Times New Roman" w:cs="Times New Roman" w:eastAsia="Times New Roman" w:hAnsi="Times New Roman"/>
          <w:sz w:val="23"/>
          <w:szCs w:val="23"/>
          <w:color w:val="auto"/>
          <w:vertAlign w:val="superscript"/>
        </w:rPr>
      </w:pPr>
    </w:p>
    <w:p>
      <w:pPr>
        <w:ind w:left="640" w:right="100" w:hanging="634"/>
        <w:spacing w:after="0" w:line="225" w:lineRule="auto"/>
        <w:tabs>
          <w:tab w:leader="none" w:pos="252"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our Strategic Communications segment include gross carrying values of $313.6 million and $307.9 million as of June 30, 2025 and December 31, 2024, respectively, and accumulated impairment losses of $194.1 million as of June 30, 2025 and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24"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8"/>
              <w:spacing w:after="0" w:line="128"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Amortizing intangible assets</w:t>
            </w: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Acquired software and 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Non-amortizing intangible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9"/>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80" w:firstLine="477"/>
        <w:spacing w:after="0" w:line="274"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We recorded amortization expense of $1.1 million and $2.1 million during the three and six months ended June 30, 2025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66" w:lineRule="exact"/>
        <w:rPr>
          <w:sz w:val="20"/>
          <w:szCs w:val="20"/>
          <w:color w:val="auto"/>
        </w:rPr>
      </w:pPr>
    </w:p>
    <w:p>
      <w:pPr>
        <w:ind w:right="120" w:firstLine="477"/>
        <w:spacing w:after="0" w:line="255" w:lineRule="auto"/>
        <w:rPr>
          <w:sz w:val="20"/>
          <w:szCs w:val="20"/>
          <w:color w:val="auto"/>
        </w:rPr>
      </w:pPr>
      <w:r>
        <w:rPr>
          <w:rFonts w:ascii="Times New Roman" w:cs="Times New Roman" w:eastAsia="Times New Roman" w:hAnsi="Times New Roman"/>
          <w:sz w:val="18"/>
          <w:szCs w:val="18"/>
          <w:color w:val="auto"/>
        </w:rPr>
        <w:t>Long-term debt outstanding under our senior unsecured bank revolving credit facility (“Credit Facility”) was $470.0 million and there was no current portion as of June 30, 2025. The Company classified the borrowings under the Credit Facility as long-term debt in the accompanying Condensed Consolidated Balance Sheets, as we have the intent and unilateral ability to refinance any borrowings on a continuous basis through the maturity of the Credit Facility on November 21, 2027. There was no debt outstanding as of December 31, 2024.</w:t>
      </w:r>
    </w:p>
    <w:p>
      <w:pPr>
        <w:spacing w:after="0" w:line="127" w:lineRule="exact"/>
        <w:rPr>
          <w:sz w:val="20"/>
          <w:szCs w:val="20"/>
          <w:color w:val="auto"/>
        </w:rPr>
      </w:pPr>
    </w:p>
    <w:p>
      <w:pPr>
        <w:ind w:right="240" w:firstLine="477"/>
        <w:spacing w:after="0" w:line="250" w:lineRule="auto"/>
        <w:rPr>
          <w:sz w:val="20"/>
          <w:szCs w:val="20"/>
          <w:color w:val="auto"/>
        </w:rPr>
      </w:pPr>
      <w:r>
        <w:rPr>
          <w:rFonts w:ascii="Times New Roman" w:cs="Times New Roman" w:eastAsia="Times New Roman" w:hAnsi="Times New Roman"/>
          <w:sz w:val="18"/>
          <w:szCs w:val="18"/>
          <w:color w:val="auto"/>
        </w:rPr>
        <w:t>Our second amended and restated credit agreement governing our Credit Facility has a revolving line of credit limit of $900.0 million and a maximum incremental facility of $300.0 million, subject to certain conditions. The Credit Facility was originally guaranteed by substantially all of our wholly owned domestic subsidiaries and was originally secured by a first priority security interest in substantially all of the assets of FTI Consulting and such domestic subsidiaries. In October 2024, the Company’s credit rating was upgraded to investment grade by S&amp;P Global. The upgraded rating triggered a Ratings Collateral Release Date under, and as defined in, the Credit Facility. Upon the occurrence of the Ratings Collateral Release Date, the security interests and liens previously granted to the lenders were automatically terminated and released, and the Credit Facility is now unsecured, with only unsecured guarantees being provided by substantially all of our wholly owned domestic subsidiaries.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874" w:right="239" w:bottom="1440" w:gutter="0" w:footer="0" w:header="0"/>
        </w:sectPr>
      </w:pPr>
    </w:p>
    <w:bookmarkStart w:id="11" w:name="page12"/>
    <w:bookmarkEnd w:id="11"/>
    <w:p>
      <w:pPr>
        <w:ind w:right="180" w:firstLine="477"/>
        <w:spacing w:after="0" w:line="266" w:lineRule="auto"/>
        <w:rPr>
          <w:sz w:val="20"/>
          <w:szCs w:val="20"/>
          <w:color w:val="auto"/>
        </w:rPr>
      </w:pPr>
      <w:r>
        <w:rPr>
          <w:rFonts w:ascii="Times New Roman" w:cs="Times New Roman" w:eastAsia="Times New Roman" w:hAnsi="Times New Roman"/>
          <w:sz w:val="17"/>
          <w:szCs w:val="17"/>
          <w:color w:val="auto"/>
        </w:rPr>
        <w:t>Borrowings under the Credit Facility bear interest at a rate equal to, in the case of: (i) U.S. dollars (“USD”), at our option, Adjusted Term Secured Overnight Financing Rate (“SOFR”) or Adjusted Daily Simple SOFR, (ii) euros, Euro Interbank Offered Rate, (iii) British pounds, Sterling Overnight Index Average Reference Rate, (iv) Australian dollars, Bank Bill Swap Reference Bid Rate, (v) Canadian dollars, Canadian Dollar Offered Rate, (vi) Swiss francs, Swiss Average Rate Overnight, and (vii) Japanese yen, Tokyo Interbank Offered Rate, in each case, plus an applicable margin that will fluctuate between</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1.25% per annum and 2.00% per annum based upon the Company’s Consolidated Total Net Leverage Ratio (as defined in the Credit Facility) at such time or, in the case of USD borrowings, an alternative base rate plus an applicable margin that will fluctuate between 0.25% per annum and 1.00% per annum based upon the Company’s Consolidated Total Net Leverage Ratio at such time. The alternative base rate is a fluctuating rate per annum equal to the highest of (1) the federal funds rate plus the sum of 50 basis points, (2) the rate of interest in effect for such day as the prime rate announced by Bank of America, and (3) the one-month Term SOFR plus 100 basis points.</w:t>
      </w:r>
    </w:p>
    <w:p>
      <w:pPr>
        <w:spacing w:after="0" w:line="135" w:lineRule="exact"/>
        <w:rPr>
          <w:sz w:val="20"/>
          <w:szCs w:val="20"/>
          <w:color w:val="auto"/>
        </w:rPr>
      </w:pPr>
    </w:p>
    <w:p>
      <w:pPr>
        <w:ind w:right="220" w:firstLine="477"/>
        <w:spacing w:after="0" w:line="274" w:lineRule="auto"/>
        <w:rPr>
          <w:sz w:val="20"/>
          <w:szCs w:val="20"/>
          <w:color w:val="auto"/>
        </w:rPr>
      </w:pPr>
      <w:r>
        <w:rPr>
          <w:rFonts w:ascii="Times New Roman" w:cs="Times New Roman" w:eastAsia="Times New Roman" w:hAnsi="Times New Roman"/>
          <w:sz w:val="18"/>
          <w:szCs w:val="18"/>
          <w:color w:val="auto"/>
        </w:rPr>
        <w:t>Under the Credit Facility, we are required to pay a commitment fee rate that fluctuates between 0.20% and 0.35% per annum and a letter of credit fee rate that fluctuates between 1.25% and 2.00% per annum, in each case, based upon the Company’s Consolidated Total Net Leverage Ratio.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66" w:lineRule="exact"/>
        <w:rPr>
          <w:sz w:val="20"/>
          <w:szCs w:val="20"/>
          <w:color w:val="auto"/>
        </w:rPr>
      </w:pPr>
    </w:p>
    <w:p>
      <w:pPr>
        <w:ind w:right="260" w:firstLine="477"/>
        <w:spacing w:after="0" w:line="274" w:lineRule="auto"/>
        <w:rPr>
          <w:sz w:val="20"/>
          <w:szCs w:val="20"/>
          <w:color w:val="auto"/>
        </w:rPr>
      </w:pPr>
      <w:r>
        <w:rPr>
          <w:rFonts w:ascii="Times New Roman" w:cs="Times New Roman" w:eastAsia="Times New Roman" w:hAnsi="Times New Roman"/>
          <w:sz w:val="18"/>
          <w:szCs w:val="18"/>
          <w:color w:val="auto"/>
        </w:rPr>
        <w:t>We lease office space and equipment under non-cancelable operating leases. The table below summarizes the carrying amount of our operating lease assets and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8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40" w:type="dxa"/>
            <w:vAlign w:val="bottom"/>
          </w:tcPr>
          <w:p>
            <w:pPr>
              <w:spacing w:after="0"/>
              <w:rPr>
                <w:sz w:val="19"/>
                <w:szCs w:val="19"/>
                <w:color w:val="auto"/>
              </w:rPr>
            </w:pPr>
          </w:p>
        </w:tc>
        <w:tc>
          <w:tcPr>
            <w:tcW w:w="10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34,110</w:t>
            </w:r>
          </w:p>
        </w:tc>
        <w:tc>
          <w:tcPr>
            <w:tcW w:w="0" w:type="dxa"/>
            <w:vAlign w:val="bottom"/>
          </w:tcPr>
          <w:p>
            <w:pPr>
              <w:spacing w:after="0"/>
              <w:rPr>
                <w:sz w:val="1"/>
                <w:szCs w:val="1"/>
                <w:color w:val="auto"/>
              </w:rPr>
            </w:pPr>
          </w:p>
        </w:tc>
      </w:tr>
      <w:tr>
        <w:trPr>
          <w:trHeight w:val="22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208,036</w:t>
            </w: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5"/>
            <w:vMerge w:val="restart"/>
          </w:tcPr>
          <w:p>
            <w:pPr>
              <w:ind w:left="480"/>
              <w:spacing w:after="0"/>
              <w:rPr>
                <w:sz w:val="20"/>
                <w:szCs w:val="20"/>
                <w:color w:val="auto"/>
              </w:rPr>
            </w:pPr>
            <w:r>
              <w:rPr>
                <w:rFonts w:ascii="Times New Roman" w:cs="Times New Roman" w:eastAsia="Times New Roman" w:hAnsi="Times New Roman"/>
                <w:sz w:val="18"/>
                <w:szCs w:val="18"/>
                <w:color w:val="auto"/>
              </w:rPr>
              <w:t>The table below summarizes total lease costs:</w:t>
            </w: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660" w:type="dxa"/>
            <w:vAlign w:val="bottom"/>
            <w:gridSpan w:val="5"/>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6"/>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auto"/>
            </w:tcBorders>
            <w:gridSpan w:val="2"/>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0" w:type="dxa"/>
            <w:vAlign w:val="bottom"/>
          </w:tcPr>
          <w:p>
            <w:pPr>
              <w:spacing w:after="0"/>
              <w:rPr>
                <w:sz w:val="1"/>
                <w:szCs w:val="1"/>
                <w:color w:val="auto"/>
              </w:rPr>
            </w:pPr>
          </w:p>
        </w:tc>
      </w:tr>
      <w:tr>
        <w:trPr>
          <w:trHeight w:val="225"/>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 and other</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8"/>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40" w:firstLine="477"/>
        <w:spacing w:after="0" w:line="274" w:lineRule="auto"/>
        <w:rPr>
          <w:sz w:val="20"/>
          <w:szCs w:val="20"/>
          <w:color w:val="auto"/>
        </w:rPr>
      </w:pPr>
      <w:r>
        <w:rPr>
          <w:rFonts w:ascii="Times New Roman" w:cs="Times New Roman" w:eastAsia="Times New Roman" w:hAnsi="Times New Roman"/>
          <w:sz w:val="18"/>
          <w:szCs w:val="18"/>
          <w:color w:val="auto"/>
        </w:rPr>
        <w:t>The maturity analysis below summarizes the remaining future undiscounted cash flows for our operating leases and includes a reconciliation to operating lease liabilities reported on the 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1"/>
        </w:trPr>
        <w:tc>
          <w:tcPr>
            <w:tcW w:w="9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2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w:t>
            </w:r>
          </w:p>
        </w:tc>
      </w:tr>
      <w:tr>
        <w:trPr>
          <w:trHeight w:val="225"/>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54,556</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w:t>
            </w:r>
          </w:p>
        </w:tc>
      </w:tr>
      <w:tr>
        <w:trPr>
          <w:trHeight w:val="225"/>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40,935</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30,677</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111,385</w:t>
            </w:r>
          </w:p>
        </w:tc>
      </w:tr>
      <w:tr>
        <w:trPr>
          <w:trHeight w:val="218"/>
        </w:trPr>
        <w:tc>
          <w:tcPr>
            <w:tcW w:w="9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315,035</w:t>
            </w:r>
          </w:p>
        </w:tc>
      </w:tr>
      <w:tr>
        <w:trPr>
          <w:trHeight w:val="225"/>
        </w:trPr>
        <w:tc>
          <w:tcPr>
            <w:tcW w:w="9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(62,271)</w:t>
            </w: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2" w:name="page13"/>
    <w:bookmarkEnd w:id="12"/>
    <w:p>
      <w:pPr>
        <w:ind w:right="500" w:firstLine="477"/>
        <w:spacing w:after="0" w:line="274" w:lineRule="auto"/>
        <w:rPr>
          <w:sz w:val="20"/>
          <w:szCs w:val="20"/>
          <w:color w:val="auto"/>
        </w:rPr>
      </w:pPr>
      <w:r>
        <w:rPr>
          <w:rFonts w:ascii="Times New Roman" w:cs="Times New Roman" w:eastAsia="Times New Roman" w:hAnsi="Times New Roman"/>
          <w:sz w:val="18"/>
          <w:szCs w:val="18"/>
          <w:color w:val="auto"/>
        </w:rPr>
        <w:t>The table below includes cash paid for our operating lease liabilities, other non-cash information, our weighted average remaining lease term and weighted average discount rate: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54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80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28,670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27,501</w:t>
            </w:r>
          </w:p>
        </w:tc>
      </w:tr>
      <w:tr>
        <w:trPr>
          <w:trHeight w:val="252"/>
        </w:trPr>
        <w:tc>
          <w:tcPr>
            <w:tcW w:w="8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13,018</w:t>
            </w:r>
          </w:p>
        </w:tc>
      </w:tr>
      <w:tr>
        <w:trPr>
          <w:trHeight w:val="252"/>
        </w:trPr>
        <w:tc>
          <w:tcPr>
            <w:tcW w:w="8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2"/>
        </w:trPr>
        <w:tc>
          <w:tcPr>
            <w:tcW w:w="80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66" w:lineRule="exact"/>
        <w:rPr>
          <w:sz w:val="20"/>
          <w:szCs w:val="20"/>
          <w:color w:val="auto"/>
        </w:rPr>
      </w:pPr>
    </w:p>
    <w:p>
      <w:pPr>
        <w:ind w:right="100" w:firstLine="477"/>
        <w:spacing w:after="0" w:line="252" w:lineRule="auto"/>
        <w:rPr>
          <w:sz w:val="20"/>
          <w:szCs w:val="20"/>
          <w:color w:val="auto"/>
        </w:rPr>
      </w:pPr>
      <w:r>
        <w:rPr>
          <w:rFonts w:ascii="Times New Roman" w:cs="Times New Roman" w:eastAsia="Times New Roman" w:hAnsi="Times New Roman"/>
          <w:sz w:val="18"/>
          <w:szCs w:val="18"/>
          <w:color w:val="auto"/>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six months ended June 30, 2025, the Company recorded the impact of proceeds received from legal settlements. These amounts are included as a gain in “Selling, general and administrative (“SG&amp;A”) expenses” on our Condensed Consolidated Statements of Comprehensive Income.</w:t>
      </w:r>
    </w:p>
    <w:p>
      <w:pPr>
        <w:spacing w:after="0" w:line="132" w:lineRule="exact"/>
        <w:rPr>
          <w:sz w:val="20"/>
          <w:szCs w:val="20"/>
          <w:color w:val="auto"/>
        </w:rPr>
      </w:pPr>
    </w:p>
    <w:p>
      <w:pPr>
        <w:ind w:right="100" w:firstLine="477"/>
        <w:spacing w:after="0" w:line="271" w:lineRule="auto"/>
        <w:rPr>
          <w:sz w:val="20"/>
          <w:szCs w:val="20"/>
          <w:color w:val="auto"/>
        </w:rPr>
      </w:pPr>
      <w:r>
        <w:rPr>
          <w:rFonts w:ascii="Times New Roman" w:cs="Times New Roman" w:eastAsia="Times New Roman" w:hAnsi="Times New Roman"/>
          <w:sz w:val="17"/>
          <w:szCs w:val="17"/>
          <w:color w:val="auto"/>
        </w:rPr>
        <w:t>As of June 30, 2025 and December 31, 2024, the Company was contingently liable under bank guarantees issued in favor of third parties that totaled $16.2 million and $10.9 million, respectively. These bank guarantees primarily support bid and performance obligations and operating leases for office space. The amounts are guaranteed under guarantee facilities totaling $47.4 million and $42.7 million as of June 30, 2025 and December 31, 2024, respectively. The Company had $31.2 million and $31.8 million available under the guarantee facilities as of June 30, 2025 and December 31, 2024, respectively. These bank guarantees are issued separately from our Credit Facility and, as a result, do not affect available borrowing capacity under our Credit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66" w:lineRule="exact"/>
        <w:rPr>
          <w:sz w:val="20"/>
          <w:szCs w:val="20"/>
          <w:color w:val="auto"/>
        </w:rPr>
      </w:pPr>
    </w:p>
    <w:p>
      <w:pPr>
        <w:ind w:right="160" w:firstLine="477"/>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2025, we granted equity awards of 77,084 restricted shares, 94,588 restricted stock units and 105,632 performance stock units under the FTI Consulting, Inc. 2017 Omnibus Incentive Compensation Plan, our employee equity compensation plan. Our performance stock units are presented at the maximum potential payout percentage of 150% of target shares granted. These awards are recorded as equity on the Condensed Consolidated Balance Sheets. During the six months ended June 30, 2025, 13,312 shares of restricted stock and 3,903 restricted stock units were forfeited prior to the completion of the applicable vesting requirements. Additionally, 31,447 performance stock units were forfeited during the six months ended June 30, 2025, including award targets that were not achieved.</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share-based compensation expense, net of forfeitures, is detailed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Repurchase Program</w:t>
      </w:r>
    </w:p>
    <w:p>
      <w:pPr>
        <w:spacing w:after="0" w:line="168" w:lineRule="exact"/>
        <w:rPr>
          <w:sz w:val="20"/>
          <w:szCs w:val="20"/>
          <w:color w:val="auto"/>
        </w:rPr>
      </w:pPr>
    </w:p>
    <w:p>
      <w:pPr>
        <w:ind w:right="300" w:firstLine="477"/>
        <w:spacing w:after="0" w:line="259"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$400.0 million to an aggregate authorization of $1.7 billion on April 21, 2025. No time limit has been established for the completion of the Repurchase Program, and the Repurchase Program may be suspended, discontinued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3" w:name="page14"/>
    <w:bookmarkEnd w:id="13"/>
    <w:p>
      <w:pPr>
        <w:ind w:right="40"/>
        <w:spacing w:after="0" w:line="274" w:lineRule="auto"/>
        <w:rPr>
          <w:sz w:val="20"/>
          <w:szCs w:val="20"/>
          <w:color w:val="auto"/>
        </w:rPr>
      </w:pPr>
      <w:r>
        <w:rPr>
          <w:rFonts w:ascii="Times New Roman" w:cs="Times New Roman" w:eastAsia="Times New Roman" w:hAnsi="Times New Roman"/>
          <w:sz w:val="18"/>
          <w:szCs w:val="18"/>
          <w:color w:val="auto"/>
        </w:rPr>
        <w:t>or replaced by the Board of Directors at any time without prior notice. As of June 30, 2025, we had $309.3 million available under the Repurchase Program to repurchase additional shares of our common stock.</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details our stock repurchases under the Repurchase Program: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 and retired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Average price paid per share </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00" w:type="dxa"/>
            <w:vAlign w:val="bottom"/>
          </w:tcPr>
          <w:p>
            <w:pPr>
              <w:spacing w:after="0"/>
              <w:rPr>
                <w:sz w:val="19"/>
                <w:szCs w:val="19"/>
                <w:color w:val="auto"/>
              </w:rPr>
            </w:pPr>
          </w:p>
        </w:tc>
        <w:tc>
          <w:tcPr>
            <w:tcW w:w="1000" w:type="dxa"/>
            <w:vAlign w:val="bottom"/>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4" w:lineRule="exact"/>
        <w:rPr>
          <w:sz w:val="20"/>
          <w:szCs w:val="20"/>
          <w:color w:val="auto"/>
        </w:rPr>
      </w:pPr>
    </w:p>
    <w:p>
      <w:pPr>
        <w:ind w:left="260" w:hanging="254"/>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excise tax of $3.3 million and $4.8 million incurred during the three and six months ended June 30, 2025, respectively.</w:t>
      </w:r>
    </w:p>
    <w:p>
      <w:pPr>
        <w:spacing w:after="0" w:line="140" w:lineRule="exact"/>
        <w:rPr>
          <w:sz w:val="20"/>
          <w:szCs w:val="20"/>
          <w:color w:val="auto"/>
        </w:rPr>
      </w:pPr>
    </w:p>
    <w:p>
      <w:pPr>
        <w:jc w:val="both"/>
        <w:ind w:right="60" w:firstLine="477"/>
        <w:spacing w:after="0" w:line="259" w:lineRule="auto"/>
        <w:rPr>
          <w:sz w:val="20"/>
          <w:szCs w:val="20"/>
          <w:color w:val="auto"/>
        </w:rPr>
      </w:pPr>
      <w:r>
        <w:rPr>
          <w:rFonts w:ascii="Times New Roman" w:cs="Times New Roman" w:eastAsia="Times New Roman" w:hAnsi="Times New Roman"/>
          <w:sz w:val="18"/>
          <w:szCs w:val="18"/>
          <w:color w:val="auto"/>
        </w:rPr>
        <w:t>As we repurchase our common shares, we reduce stated capital on our Condensed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of retained earnings.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68" w:lineRule="exact"/>
        <w:rPr>
          <w:sz w:val="20"/>
          <w:szCs w:val="20"/>
          <w:color w:val="auto"/>
        </w:rPr>
      </w:pPr>
    </w:p>
    <w:p>
      <w:pPr>
        <w:ind w:right="200" w:firstLine="477"/>
        <w:spacing w:after="0" w:line="255" w:lineRule="auto"/>
        <w:rPr>
          <w:sz w:val="20"/>
          <w:szCs w:val="20"/>
          <w:color w:val="auto"/>
        </w:rPr>
      </w:pPr>
      <w:r>
        <w:rPr>
          <w:rFonts w:ascii="Times New Roman" w:cs="Times New Roman" w:eastAsia="Times New Roman" w:hAnsi="Times New Roman"/>
          <w:sz w:val="18"/>
          <w:szCs w:val="18"/>
          <w:color w:val="auto"/>
        </w:rPr>
        <w:t>Common stock outstanding was approximately 32.7 million shares and 35.9 million shares as of June 30, 2025 and December 31, 2024, respectively. Common stock outstanding includes unvested restricted stock awards, which are considered issued and outstanding under the terms of the restricted stock award agreements. The decrease in common stock outstanding was primarily due to stock repurchases under the Repurchase Program during the six months ended June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manage our business in five reportable segments: Corporate Finance, FLC, Economic Consulting, Technology and Strategic Communications.</w:t>
      </w:r>
    </w:p>
    <w:p>
      <w:pPr>
        <w:spacing w:after="0" w:line="164" w:lineRule="exact"/>
        <w:rPr>
          <w:sz w:val="20"/>
          <w:szCs w:val="20"/>
          <w:color w:val="auto"/>
        </w:rPr>
      </w:pPr>
    </w:p>
    <w:p>
      <w:pPr>
        <w:jc w:val="both"/>
        <w:ind w:right="240" w:firstLine="477"/>
        <w:spacing w:after="0" w:line="255" w:lineRule="auto"/>
        <w:rPr>
          <w:sz w:val="20"/>
          <w:szCs w:val="20"/>
          <w:color w:val="auto"/>
        </w:rPr>
      </w:pPr>
      <w:r>
        <w:rPr>
          <w:rFonts w:ascii="Times New Roman" w:cs="Times New Roman" w:eastAsia="Times New Roman" w:hAnsi="Times New Roman"/>
          <w:sz w:val="18"/>
          <w:szCs w:val="18"/>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7" w:lineRule="exact"/>
        <w:rPr>
          <w:sz w:val="20"/>
          <w:szCs w:val="20"/>
          <w:color w:val="auto"/>
        </w:rPr>
      </w:pPr>
    </w:p>
    <w:p>
      <w:pPr>
        <w:ind w:right="20" w:firstLine="477"/>
        <w:spacing w:after="0" w:line="268" w:lineRule="auto"/>
        <w:rPr>
          <w:sz w:val="20"/>
          <w:szCs w:val="20"/>
          <w:color w:val="auto"/>
        </w:rPr>
      </w:pPr>
      <w:r>
        <w:rPr>
          <w:rFonts w:ascii="Times New Roman" w:cs="Times New Roman" w:eastAsia="Times New Roman" w:hAnsi="Times New Roman"/>
          <w:sz w:val="17"/>
          <w:szCs w:val="17"/>
          <w:color w:val="auto"/>
        </w:rPr>
        <w:t>Our FLC segment provides law firms, companies, boards of directors, government entities, private equity firms and other interested parties with a multidisciplinary and independent range of services across investigations and disputes, supported by our data &amp; analytics technology-enabled solutions, with a focus on highly regulated industries. Our services are centered around five core offerings: Construction, Projects &amp; Assets and Environmental Solutions, Data</w:t>
      </w:r>
    </w:p>
    <w:p>
      <w:pPr>
        <w:spacing w:after="0" w:line="1" w:lineRule="exact"/>
        <w:rPr>
          <w:sz w:val="20"/>
          <w:szCs w:val="20"/>
          <w:color w:val="auto"/>
        </w:rPr>
      </w:pPr>
    </w:p>
    <w:p>
      <w:pPr>
        <w:ind w:right="60" w:firstLine="6"/>
        <w:spacing w:after="0" w:line="251" w:lineRule="auto"/>
        <w:tabs>
          <w:tab w:leader="none" w:pos="1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Disputes, Healthcare Risk Management &amp; Advisory and Risk and Investigations, which includes our cybersecurity and financial services-related offerings.</w:t>
      </w:r>
    </w:p>
    <w:p>
      <w:pPr>
        <w:spacing w:after="0" w:line="131" w:lineRule="exact"/>
        <w:rPr>
          <w:sz w:val="20"/>
          <w:szCs w:val="20"/>
          <w:color w:val="auto"/>
        </w:rPr>
      </w:pPr>
    </w:p>
    <w:p>
      <w:pPr>
        <w:ind w:right="20" w:firstLine="477"/>
        <w:spacing w:after="0" w:line="255" w:lineRule="auto"/>
        <w:rPr>
          <w:sz w:val="20"/>
          <w:szCs w:val="20"/>
          <w:color w:val="auto"/>
        </w:rPr>
      </w:pPr>
      <w:r>
        <w:rPr>
          <w:rFonts w:ascii="Times New Roman" w:cs="Times New Roman" w:eastAsia="Times New Roman" w:hAnsi="Times New Roman"/>
          <w:sz w:val="18"/>
          <w:szCs w:val="18"/>
          <w:color w:val="auto"/>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7" w:lineRule="exact"/>
        <w:rPr>
          <w:sz w:val="20"/>
          <w:szCs w:val="20"/>
          <w:color w:val="auto"/>
        </w:rPr>
      </w:pPr>
    </w:p>
    <w:p>
      <w:pPr>
        <w:ind w:right="20" w:firstLine="477"/>
        <w:spacing w:after="0" w:line="271" w:lineRule="auto"/>
        <w:rPr>
          <w:sz w:val="20"/>
          <w:szCs w:val="20"/>
          <w:color w:val="auto"/>
        </w:rPr>
      </w:pPr>
      <w:r>
        <w:rPr>
          <w:rFonts w:ascii="Times New Roman" w:cs="Times New Roman" w:eastAsia="Times New Roman" w:hAnsi="Times New Roman"/>
          <w:sz w:val="17"/>
          <w:szCs w:val="17"/>
          <w:color w:val="auto"/>
        </w:rPr>
        <w:t>Our Technology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mergers &amp; acquisitions, restructuring and compliance and risk through three core offerings: Corporate Legal Department Consulting, E-discovery and Analytics Services and Expertise, and Information Governance, Privacy &amp; Security Services.</w:t>
      </w:r>
    </w:p>
    <w:p>
      <w:pPr>
        <w:spacing w:after="0" w:line="115" w:lineRule="exact"/>
        <w:rPr>
          <w:sz w:val="20"/>
          <w:szCs w:val="20"/>
          <w:color w:val="auto"/>
        </w:rPr>
      </w:pPr>
    </w:p>
    <w:p>
      <w:pPr>
        <w:ind w:right="240" w:firstLine="477"/>
        <w:spacing w:after="0" w:line="274" w:lineRule="auto"/>
        <w:rPr>
          <w:sz w:val="20"/>
          <w:szCs w:val="20"/>
          <w:color w:val="auto"/>
        </w:rPr>
      </w:pPr>
      <w:r>
        <w:rPr>
          <w:rFonts w:ascii="Times New Roman" w:cs="Times New Roman" w:eastAsia="Times New Roman" w:hAnsi="Times New Roman"/>
          <w:sz w:val="18"/>
          <w:szCs w:val="18"/>
          <w:color w:val="auto"/>
        </w:rPr>
        <w:t>Our Strategic Communications segment develops and executes communications strategies to help management teams, boards of directors, law firms, governments and regulators manage change and mitigate risk surrounding transformational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ind w:right="100"/>
        <w:spacing w:after="0" w:line="274" w:lineRule="auto"/>
        <w:rPr>
          <w:sz w:val="20"/>
          <w:szCs w:val="20"/>
          <w:color w:val="auto"/>
        </w:rPr>
      </w:pPr>
      <w:r>
        <w:rPr>
          <w:rFonts w:ascii="Times New Roman" w:cs="Times New Roman" w:eastAsia="Times New Roman" w:hAnsi="Times New Roman"/>
          <w:sz w:val="18"/>
          <w:szCs w:val="18"/>
          <w:color w:val="auto"/>
        </w:rPr>
        <w:t>disruptive events, including transactions, investigations, disputes, crises, regulation and legislation. We deliver a wide range of services centered around three core offerings: Corporate Reputation, Financial Communications and Public Affairs.</w:t>
      </w:r>
    </w:p>
    <w:p>
      <w:pPr>
        <w:spacing w:after="0" w:line="110" w:lineRule="exact"/>
        <w:rPr>
          <w:sz w:val="20"/>
          <w:szCs w:val="20"/>
          <w:color w:val="auto"/>
        </w:rPr>
      </w:pPr>
    </w:p>
    <w:p>
      <w:pPr>
        <w:ind w:firstLine="477"/>
        <w:spacing w:after="0" w:line="255" w:lineRule="auto"/>
        <w:rPr>
          <w:sz w:val="20"/>
          <w:szCs w:val="20"/>
          <w:color w:val="auto"/>
        </w:rPr>
      </w:pPr>
      <w:r>
        <w:rPr>
          <w:rFonts w:ascii="Times New Roman" w:cs="Times New Roman" w:eastAsia="Times New Roman" w:hAnsi="Times New Roman"/>
          <w:sz w:val="18"/>
          <w:szCs w:val="18"/>
          <w:color w:val="auto"/>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is not provided asset information by reportable segment.</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summarize revenues, significant expenses and gross profit by reportable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16"/>
                <w:szCs w:val="16"/>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FLC</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Strategic</w:t>
            </w:r>
          </w:p>
        </w:tc>
        <w:tc>
          <w:tcPr>
            <w:tcW w:w="240" w:type="dxa"/>
            <w:vAlign w:val="bottom"/>
          </w:tcPr>
          <w:p>
            <w:pPr>
              <w:spacing w:after="0"/>
              <w:rPr>
                <w:sz w:val="16"/>
                <w:szCs w:val="16"/>
                <w:color w:val="auto"/>
              </w:rPr>
            </w:pP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Finance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Consulting</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Communications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943,662</w:t>
            </w:r>
          </w:p>
        </w:tc>
        <w:tc>
          <w:tcPr>
            <w:tcW w:w="0" w:type="dxa"/>
            <w:vAlign w:val="bottom"/>
          </w:tcPr>
          <w:p>
            <w:pPr>
              <w:spacing w:after="0"/>
              <w:rPr>
                <w:sz w:val="1"/>
                <w:szCs w:val="1"/>
                <w:color w:val="auto"/>
              </w:rPr>
            </w:pPr>
          </w:p>
        </w:tc>
      </w:tr>
      <w:tr>
        <w:trPr>
          <w:trHeight w:val="225"/>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3"/>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560,388</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3"/>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0" w:type="dxa"/>
            <w:vAlign w:val="bottom"/>
          </w:tcPr>
          <w:p>
            <w:pPr>
              <w:spacing w:after="0"/>
              <w:rPr>
                <w:sz w:val="1"/>
                <w:szCs w:val="1"/>
                <w:color w:val="auto"/>
              </w:rPr>
            </w:pPr>
          </w:p>
        </w:tc>
      </w:tr>
      <w:tr>
        <w:trPr>
          <w:trHeight w:val="218"/>
        </w:trPr>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641,141</w:t>
            </w:r>
          </w:p>
        </w:tc>
        <w:tc>
          <w:tcPr>
            <w:tcW w:w="0" w:type="dxa"/>
            <w:vAlign w:val="bottom"/>
          </w:tcPr>
          <w:p>
            <w:pPr>
              <w:spacing w:after="0"/>
              <w:rPr>
                <w:sz w:val="1"/>
                <w:szCs w:val="1"/>
                <w:color w:val="auto"/>
              </w:rPr>
            </w:pPr>
          </w:p>
        </w:tc>
      </w:tr>
      <w:tr>
        <w:trPr>
          <w:trHeight w:val="218"/>
        </w:trPr>
        <w:tc>
          <w:tcPr>
            <w:tcW w:w="3580" w:type="dxa"/>
            <w:vAlign w:val="bottom"/>
            <w:gridSpan w:val="3"/>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24"/>
                <w:szCs w:val="2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FLC</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Strategic</w:t>
            </w:r>
          </w:p>
        </w:tc>
        <w:tc>
          <w:tcPr>
            <w:tcW w:w="240" w:type="dxa"/>
            <w:vAlign w:val="bottom"/>
          </w:tcPr>
          <w:p>
            <w:pPr>
              <w:spacing w:after="0"/>
              <w:rPr>
                <w:sz w:val="24"/>
                <w:szCs w:val="24"/>
                <w:color w:val="auto"/>
              </w:rPr>
            </w:pP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Finance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Consulting</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Communications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1,841,944</w:t>
            </w:r>
          </w:p>
        </w:tc>
        <w:tc>
          <w:tcPr>
            <w:tcW w:w="0" w:type="dxa"/>
            <w:vAlign w:val="bottom"/>
          </w:tcPr>
          <w:p>
            <w:pPr>
              <w:spacing w:after="0"/>
              <w:rPr>
                <w:sz w:val="1"/>
                <w:szCs w:val="1"/>
                <w:color w:val="auto"/>
              </w:rPr>
            </w:pPr>
          </w:p>
        </w:tc>
      </w:tr>
      <w:tr>
        <w:trPr>
          <w:trHeight w:val="225"/>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3"/>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1,093,399</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3"/>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156,670</w:t>
            </w:r>
          </w:p>
        </w:tc>
        <w:tc>
          <w:tcPr>
            <w:tcW w:w="0" w:type="dxa"/>
            <w:vAlign w:val="bottom"/>
          </w:tcPr>
          <w:p>
            <w:pPr>
              <w:spacing w:after="0"/>
              <w:rPr>
                <w:sz w:val="1"/>
                <w:szCs w:val="1"/>
                <w:color w:val="auto"/>
              </w:rPr>
            </w:pPr>
          </w:p>
        </w:tc>
      </w:tr>
      <w:tr>
        <w:trPr>
          <w:trHeight w:val="218"/>
        </w:trPr>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1,250,069</w:t>
            </w:r>
          </w:p>
        </w:tc>
        <w:tc>
          <w:tcPr>
            <w:tcW w:w="0" w:type="dxa"/>
            <w:vAlign w:val="bottom"/>
          </w:tcPr>
          <w:p>
            <w:pPr>
              <w:spacing w:after="0"/>
              <w:rPr>
                <w:sz w:val="1"/>
                <w:szCs w:val="1"/>
                <w:color w:val="auto"/>
              </w:rPr>
            </w:pPr>
          </w:p>
        </w:tc>
      </w:tr>
      <w:tr>
        <w:trPr>
          <w:trHeight w:val="219"/>
        </w:trPr>
        <w:tc>
          <w:tcPr>
            <w:tcW w:w="3580" w:type="dxa"/>
            <w:vAlign w:val="bottom"/>
            <w:gridSpan w:val="3"/>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591,875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24"/>
                <w:szCs w:val="2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FLC</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Strategic</w:t>
            </w:r>
          </w:p>
        </w:tc>
        <w:tc>
          <w:tcPr>
            <w:tcW w:w="240" w:type="dxa"/>
            <w:vAlign w:val="bottom"/>
          </w:tcPr>
          <w:p>
            <w:pPr>
              <w:spacing w:after="0"/>
              <w:rPr>
                <w:sz w:val="24"/>
                <w:szCs w:val="24"/>
                <w:color w:val="auto"/>
              </w:rPr>
            </w:pP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Finance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Consulting</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Communications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949,156</w:t>
            </w:r>
          </w:p>
        </w:tc>
        <w:tc>
          <w:tcPr>
            <w:tcW w:w="0" w:type="dxa"/>
            <w:vAlign w:val="bottom"/>
          </w:tcPr>
          <w:p>
            <w:pPr>
              <w:spacing w:after="0"/>
              <w:rPr>
                <w:sz w:val="1"/>
                <w:szCs w:val="1"/>
                <w:color w:val="auto"/>
              </w:rPr>
            </w:pPr>
          </w:p>
        </w:tc>
      </w:tr>
      <w:tr>
        <w:trPr>
          <w:trHeight w:val="225"/>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3"/>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550,785</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3"/>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86,964</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637,749</w:t>
            </w:r>
          </w:p>
        </w:tc>
        <w:tc>
          <w:tcPr>
            <w:tcW w:w="0" w:type="dxa"/>
            <w:vAlign w:val="bottom"/>
          </w:tcPr>
          <w:p>
            <w:pPr>
              <w:spacing w:after="0"/>
              <w:rPr>
                <w:sz w:val="1"/>
                <w:szCs w:val="1"/>
                <w:color w:val="auto"/>
              </w:rPr>
            </w:pPr>
          </w:p>
        </w:tc>
      </w:tr>
      <w:tr>
        <w:trPr>
          <w:trHeight w:val="218"/>
        </w:trPr>
        <w:tc>
          <w:tcPr>
            <w:tcW w:w="3580" w:type="dxa"/>
            <w:vAlign w:val="bottom"/>
            <w:gridSpan w:val="3"/>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40" w:type="dxa"/>
            <w:vAlign w:val="bottom"/>
          </w:tcPr>
          <w:p>
            <w:pPr>
              <w:spacing w:after="0"/>
              <w:rPr>
                <w:sz w:val="24"/>
                <w:szCs w:val="2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FLC</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40" w:type="dxa"/>
            <w:vAlign w:val="bottom"/>
          </w:tcPr>
          <w:p>
            <w:pPr>
              <w:spacing w:after="0"/>
              <w:rPr>
                <w:sz w:val="24"/>
                <w:szCs w:val="2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Strategic</w:t>
            </w:r>
          </w:p>
        </w:tc>
        <w:tc>
          <w:tcPr>
            <w:tcW w:w="240" w:type="dxa"/>
            <w:vAlign w:val="bottom"/>
          </w:tcPr>
          <w:p>
            <w:pPr>
              <w:spacing w:after="0"/>
              <w:rPr>
                <w:sz w:val="24"/>
                <w:szCs w:val="24"/>
                <w:color w:val="auto"/>
              </w:rPr>
            </w:pPr>
          </w:p>
        </w:tc>
        <w:tc>
          <w:tcPr>
            <w:tcW w:w="92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Finance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Consulting</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Communications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1,877,709</w:t>
            </w:r>
          </w:p>
        </w:tc>
        <w:tc>
          <w:tcPr>
            <w:tcW w:w="0" w:type="dxa"/>
            <w:vAlign w:val="bottom"/>
          </w:tcPr>
          <w:p>
            <w:pPr>
              <w:spacing w:after="0"/>
              <w:rPr>
                <w:sz w:val="1"/>
                <w:szCs w:val="1"/>
                <w:color w:val="auto"/>
              </w:rPr>
            </w:pPr>
          </w:p>
        </w:tc>
      </w:tr>
      <w:tr>
        <w:trPr>
          <w:trHeight w:val="225"/>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3"/>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1,095,707</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3"/>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168,076</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1,263,783</w:t>
            </w:r>
          </w:p>
        </w:tc>
        <w:tc>
          <w:tcPr>
            <w:tcW w:w="0" w:type="dxa"/>
            <w:vAlign w:val="bottom"/>
          </w:tcPr>
          <w:p>
            <w:pPr>
              <w:spacing w:after="0"/>
              <w:rPr>
                <w:sz w:val="1"/>
                <w:szCs w:val="1"/>
                <w:color w:val="auto"/>
              </w:rPr>
            </w:pPr>
          </w:p>
        </w:tc>
      </w:tr>
      <w:tr>
        <w:trPr>
          <w:trHeight w:val="218"/>
        </w:trPr>
        <w:tc>
          <w:tcPr>
            <w:tcW w:w="3580" w:type="dxa"/>
            <w:vAlign w:val="bottom"/>
            <w:gridSpan w:val="3"/>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613,926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8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1240"/>
          </w:cols>
          <w:pgMar w:left="320" w:top="87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significant expense category and amounts align with the segment-level information that is regularly provided to the CODM.</w:t>
      </w:r>
    </w:p>
    <w:p>
      <w:pPr>
        <w:spacing w:after="0" w:line="164" w:lineRule="exact"/>
        <w:rPr>
          <w:sz w:val="20"/>
          <w:szCs w:val="20"/>
          <w:color w:val="auto"/>
        </w:rPr>
      </w:pPr>
    </w:p>
    <w:p>
      <w:pPr>
        <w:ind w:left="20" w:right="80" w:hanging="11"/>
        <w:spacing w:after="0" w:line="274" w:lineRule="auto"/>
        <w:rPr>
          <w:sz w:val="20"/>
          <w:szCs w:val="20"/>
          <w:color w:val="auto"/>
        </w:rPr>
      </w:pPr>
      <w:r>
        <w:rPr>
          <w:rFonts w:ascii="Times New Roman" w:cs="Times New Roman" w:eastAsia="Times New Roman" w:hAnsi="Times New Roman"/>
          <w:sz w:val="18"/>
          <w:szCs w:val="18"/>
          <w:color w:val="auto"/>
        </w:rPr>
        <w:t>Other segment items include expenses for contractor fees, depreciation and other costs. In our Technology segment, other segment items also include expenses related to software and licensing and data storage.</w:t>
      </w:r>
    </w:p>
    <w:p>
      <w:pPr>
        <w:spacing w:after="0" w:line="110" w:lineRule="exact"/>
        <w:rPr>
          <w:sz w:val="20"/>
          <w:szCs w:val="20"/>
          <w:color w:val="auto"/>
        </w:rPr>
      </w:pPr>
    </w:p>
    <w:p>
      <w:pPr>
        <w:ind w:left="20" w:right="40" w:hanging="11"/>
        <w:spacing w:after="0" w:line="274" w:lineRule="auto"/>
        <w:rPr>
          <w:sz w:val="20"/>
          <w:szCs w:val="20"/>
          <w:color w:val="auto"/>
        </w:rPr>
      </w:pPr>
      <w:r>
        <w:rPr>
          <w:rFonts w:ascii="Times New Roman" w:cs="Times New Roman" w:eastAsia="Times New Roman" w:hAnsi="Times New Roman"/>
          <w:sz w:val="18"/>
          <w:szCs w:val="18"/>
          <w:color w:val="auto"/>
        </w:rPr>
        <w:t>Includes internal cost recovery for work performed on corporate projects of $4.4 million and $7.9 million for the three and six months ended June 30, 2025, respectively, and $4.3 million and $7.8 million for the three and six months</w:t>
      </w:r>
    </w:p>
    <w:p>
      <w:pPr>
        <w:spacing w:after="0" w:line="200" w:lineRule="exact"/>
        <w:rPr>
          <w:sz w:val="20"/>
          <w:szCs w:val="20"/>
          <w:color w:val="auto"/>
        </w:rPr>
      </w:pPr>
    </w:p>
    <w:p>
      <w:pPr>
        <w:sectPr>
          <w:pgSz w:w="11900" w:h="16838" w:orient="portrait"/>
          <w:cols w:equalWidth="0" w:num="2">
            <w:col w:w="140" w:space="480"/>
            <w:col w:w="10620"/>
          </w:cols>
          <w:pgMar w:left="320" w:top="876"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5" w:name="page16"/>
    <w:bookmarkEnd w:id="15"/>
    <w:p>
      <w:pPr>
        <w:ind w:left="640" w:right="640"/>
        <w:spacing w:after="0" w:line="274" w:lineRule="auto"/>
        <w:rPr>
          <w:sz w:val="20"/>
          <w:szCs w:val="20"/>
          <w:color w:val="auto"/>
        </w:rPr>
      </w:pPr>
      <w:r>
        <w:rPr>
          <w:rFonts w:ascii="Times New Roman" w:cs="Times New Roman" w:eastAsia="Times New Roman" w:hAnsi="Times New Roman"/>
          <w:sz w:val="18"/>
          <w:szCs w:val="18"/>
          <w:color w:val="auto"/>
        </w:rPr>
        <w:t>ended June 30, 2024, respectively. Costs associated with billable work performed on corporate projects are included in unallocated corporate expenses as SG&amp;A expenses in the Condensed Consolidated Statements of Comprehensive Income.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reconciles income before income tax provision to total segment gross profit: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21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18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202,177</w:t>
            </w:r>
          </w:p>
        </w:tc>
      </w:tr>
      <w:tr>
        <w:trPr>
          <w:trHeight w:val="22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25"/>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5"/>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5"/>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3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408,105</w:t>
            </w:r>
          </w:p>
        </w:tc>
      </w:tr>
      <w:tr>
        <w:trPr>
          <w:trHeight w:val="218"/>
        </w:trPr>
        <w:tc>
          <w:tcPr>
            <w:tcW w:w="5340" w:type="dxa"/>
            <w:vAlign w:val="bottom"/>
            <w:gridSpan w:val="2"/>
          </w:tcPr>
          <w:p>
            <w:pPr>
              <w:ind w:left="460"/>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Total segment gross profit </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591,875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613,926</w:t>
            </w:r>
          </w:p>
        </w:tc>
      </w:tr>
      <w:tr>
        <w:trPr>
          <w:trHeight w:val="20"/>
        </w:trPr>
        <w:tc>
          <w:tcPr>
            <w:tcW w:w="2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5"/>
        </w:trPr>
        <w:tc>
          <w:tcPr>
            <w:tcW w:w="218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61" w:lineRule="exact"/>
        <w:rPr>
          <w:sz w:val="20"/>
          <w:szCs w:val="20"/>
          <w:color w:val="auto"/>
        </w:rPr>
      </w:pPr>
    </w:p>
    <w:p>
      <w:pPr>
        <w:ind w:left="640" w:right="40" w:hanging="634"/>
        <w:spacing w:after="0" w:line="235" w:lineRule="auto"/>
        <w:tabs>
          <w:tab w:leader="none" w:pos="6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internal cost recovery for work performed on corporate projects of $4.4 million and $7.9 million for the three and six months ended June 30, 2025, respectively, and $4.3 million and $7.8 million for the three and six months ended June 30, 2024, respectively. Costs associated with billable work performed on corporate projects are included in unallocated corporate expenses as SG&amp;A expenses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6" w:name="page17"/>
    <w:bookmarkEnd w:id="16"/>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6" w:lineRule="exact"/>
        <w:rPr>
          <w:sz w:val="20"/>
          <w:szCs w:val="20"/>
          <w:color w:val="auto"/>
        </w:rPr>
      </w:pPr>
    </w:p>
    <w:p>
      <w:pPr>
        <w:ind w:right="20" w:firstLine="477"/>
        <w:spacing w:after="0" w:line="249" w:lineRule="auto"/>
        <w:rPr>
          <w:sz w:val="20"/>
          <w:szCs w:val="20"/>
          <w:color w:val="auto"/>
        </w:rPr>
      </w:pPr>
      <w:r>
        <w:rPr>
          <w:rFonts w:ascii="Times New Roman" w:cs="Times New Roman" w:eastAsia="Times New Roman" w:hAnsi="Times New Roman"/>
          <w:sz w:val="18"/>
          <w:szCs w:val="18"/>
          <w:color w:val="auto"/>
        </w:rPr>
        <w:t>The following is a discussion and analysis of our consolidated financial condition, results of operations, and liquidity and capital resources for the three and six months ended June 30, 2025 and 2024, and significant factors that could affect our prospective financial condition and results of operations. This discussion should be read in conjunction with the accompanying unaudited condensed consolidated financial statements and related notes and with our Annual Report on Form 10-K for the year ended December 31, 2024 filed with the United States (“U.S.”) Securities and Exchange Commission (“SEC”). In addition to historical information, the following discussion includes forward-looking statements based on current expectations that involve risks, uncertainties and assumptions, such as our plans, objectives, expectations and intentions. Although we believe that the expectations reflected in the forward-looking statements contained herein are reasonable, these expectations or any of the forward-looking statements could prove to be incorrect, and actual results could differ materially from those projected or assumed in the forward-looking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6" w:lineRule="exact"/>
        <w:rPr>
          <w:sz w:val="20"/>
          <w:szCs w:val="20"/>
          <w:color w:val="auto"/>
        </w:rPr>
      </w:pPr>
    </w:p>
    <w:p>
      <w:pPr>
        <w:ind w:right="100" w:firstLine="477"/>
        <w:spacing w:after="0" w:line="252" w:lineRule="auto"/>
        <w:rPr>
          <w:sz w:val="20"/>
          <w:szCs w:val="20"/>
          <w:color w:val="auto"/>
        </w:rPr>
      </w:pPr>
      <w:r>
        <w:rPr>
          <w:rFonts w:ascii="Times New Roman" w:cs="Times New Roman" w:eastAsia="Times New Roman" w:hAnsi="Times New Roman"/>
          <w:sz w:val="18"/>
          <w:szCs w:val="18"/>
          <w:color w:val="auto"/>
        </w:rPr>
        <w:t>FTI Consulting, Inc., including its consolidated subsidiaries (collectively, the “Company,” “we,” “our” or “FTI Consulting”), is a global business advisory firm dedicated to helping organizations manage change, mitigate risk and resolve disputes: financial, legal, operational, political &amp; regulatory, reputational and transactional. Individually, each of our segments and practices is staffed with experts recognized for the depth of their knowledge and a track record of making an impact. Collectively, FTI Consulting offers a comprehensive suite of services designed to assist clients across the business cycle, from proactive risk management to rapid response to unexpected events and dynamic environments.</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report financial results for the following five reportable segments:</w:t>
      </w:r>
    </w:p>
    <w:p>
      <w:pPr>
        <w:spacing w:after="0" w:line="162" w:lineRule="exact"/>
        <w:rPr>
          <w:sz w:val="20"/>
          <w:szCs w:val="20"/>
          <w:color w:val="auto"/>
        </w:rPr>
      </w:pPr>
    </w:p>
    <w:p>
      <w:pPr>
        <w:ind w:right="220" w:firstLine="477"/>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Corporate Finance &amp; Restructuring (“Corporate Finance”)</w:t>
      </w:r>
      <w:r>
        <w:rPr>
          <w:rFonts w:ascii="Times New Roman" w:cs="Times New Roman" w:eastAsia="Times New Roman" w:hAnsi="Times New Roman"/>
          <w:sz w:val="18"/>
          <w:szCs w:val="18"/>
          <w:color w:val="auto"/>
        </w:rPr>
        <w:t xml:space="preserv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4" w:lineRule="exact"/>
        <w:rPr>
          <w:sz w:val="20"/>
          <w:szCs w:val="20"/>
          <w:color w:val="auto"/>
        </w:rPr>
      </w:pPr>
    </w:p>
    <w:p>
      <w:pPr>
        <w:ind w:right="260" w:firstLine="477"/>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Forensic and Litigation Consulting (“FLC”)</w:t>
      </w:r>
      <w:r>
        <w:rPr>
          <w:rFonts w:ascii="Times New Roman" w:cs="Times New Roman" w:eastAsia="Times New Roman" w:hAnsi="Times New Roman"/>
          <w:sz w:val="18"/>
          <w:szCs w:val="18"/>
          <w:color w:val="auto"/>
        </w:rPr>
        <w:t xml:space="preserve"> segment provides law firms, companies, boards of directors, government entities, private equity firms and other interested parties with a multidisciplinary and independent range of services across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 which includes our cybersecurity and financial services-related offerings.</w:t>
      </w:r>
    </w:p>
    <w:p>
      <w:pPr>
        <w:spacing w:after="0" w:line="128" w:lineRule="exact"/>
        <w:rPr>
          <w:sz w:val="20"/>
          <w:szCs w:val="20"/>
          <w:color w:val="auto"/>
        </w:rPr>
      </w:pPr>
    </w:p>
    <w:p>
      <w:pPr>
        <w:ind w:right="20" w:firstLine="477"/>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Economic Consulting</w:t>
      </w:r>
      <w:r>
        <w:rPr>
          <w:rFonts w:ascii="Times New Roman" w:cs="Times New Roman" w:eastAsia="Times New Roman" w:hAnsi="Times New Roman"/>
          <w:sz w:val="18"/>
          <w:szCs w:val="18"/>
          <w:color w:val="auto"/>
        </w:rPr>
        <w:t xml:space="preserve">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4" w:lineRule="exact"/>
        <w:rPr>
          <w:sz w:val="20"/>
          <w:szCs w:val="20"/>
          <w:color w:val="auto"/>
        </w:rPr>
      </w:pPr>
    </w:p>
    <w:p>
      <w:pPr>
        <w:ind w:right="20" w:firstLine="477"/>
        <w:spacing w:after="0" w:line="271"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mergers &amp; acquisitions (“M&amp;A”), restructuring and compliance and risk through three core offerings: Corporate Legal Department Consulting, E-discovery and Analytics Services and Expertise, and Information Governance, Privacy &amp; Security Services.</w:t>
      </w:r>
    </w:p>
    <w:p>
      <w:pPr>
        <w:spacing w:after="0" w:line="115" w:lineRule="exact"/>
        <w:rPr>
          <w:sz w:val="20"/>
          <w:szCs w:val="20"/>
          <w:color w:val="auto"/>
        </w:rPr>
      </w:pPr>
    </w:p>
    <w:p>
      <w:pPr>
        <w:ind w:right="100" w:firstLine="477"/>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Strategic Communications</w:t>
      </w:r>
      <w:r>
        <w:rPr>
          <w:rFonts w:ascii="Times New Roman" w:cs="Times New Roman" w:eastAsia="Times New Roman" w:hAnsi="Times New Roman"/>
          <w:sz w:val="18"/>
          <w:szCs w:val="18"/>
          <w:color w:val="auto"/>
        </w:rPr>
        <w:t xml:space="preserve"> segment develops and executes communications strategies to help management teams, boards of directors, law firms, governments and regulators manage change and mitigate risk surrounding transformational and disruptive events, including transactions, investigations, disputes, crises,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firstLine="477"/>
        <w:spacing w:after="0" w:line="274" w:lineRule="auto"/>
        <w:rPr>
          <w:sz w:val="20"/>
          <w:szCs w:val="20"/>
          <w:color w:val="auto"/>
        </w:rPr>
      </w:pPr>
      <w:r>
        <w:rPr>
          <w:rFonts w:ascii="Times New Roman" w:cs="Times New Roman" w:eastAsia="Times New Roman" w:hAnsi="Times New Roman"/>
          <w:sz w:val="17"/>
          <w:szCs w:val="17"/>
          <w:color w:val="auto"/>
        </w:rPr>
        <w:t>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 fee in exchange for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ind w:right="40"/>
        <w:spacing w:after="0" w:line="252" w:lineRule="auto"/>
        <w:rPr>
          <w:sz w:val="20"/>
          <w:szCs w:val="20"/>
          <w:color w:val="auto"/>
        </w:rPr>
      </w:pPr>
      <w:r>
        <w:rPr>
          <w:rFonts w:ascii="Times New Roman" w:cs="Times New Roman" w:eastAsia="Times New Roman" w:hAnsi="Times New Roman"/>
          <w:sz w:val="18"/>
          <w:szCs w:val="18"/>
          <w:color w:val="auto"/>
        </w:rPr>
        <w:t>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 to the timing of when achieving the performance-based criteria becomes probable. Seasonal factors, such as the timing of our employees’ and clients’ vacations and holidays, may impact the timing of our revenue recognition across our segments.</w:t>
      </w:r>
    </w:p>
    <w:p>
      <w:pPr>
        <w:spacing w:after="0" w:line="132" w:lineRule="exact"/>
        <w:rPr>
          <w:sz w:val="20"/>
          <w:szCs w:val="20"/>
          <w:color w:val="auto"/>
        </w:rPr>
      </w:pPr>
    </w:p>
    <w:p>
      <w:pPr>
        <w:ind w:right="300" w:firstLine="477"/>
        <w:spacing w:after="0" w:line="255" w:lineRule="auto"/>
        <w:rPr>
          <w:sz w:val="20"/>
          <w:szCs w:val="20"/>
          <w:color w:val="auto"/>
        </w:rPr>
      </w:pPr>
      <w:r>
        <w:rPr>
          <w:rFonts w:ascii="Times New Roman" w:cs="Times New Roman" w:eastAsia="Times New Roman" w:hAnsi="Times New Roman"/>
          <w:sz w:val="18"/>
          <w:szCs w:val="18"/>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financial results are primarily driven by:</w:t>
      </w:r>
    </w:p>
    <w:p>
      <w:pPr>
        <w:spacing w:after="0" w:line="164" w:lineRule="exact"/>
        <w:rPr>
          <w:sz w:val="20"/>
          <w:szCs w:val="20"/>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engagements we secure;</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billable professionals;</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rates of the billable professionals we employ;</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hour or fixed charges we charge our clients for services;</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billing and collection cycles; and</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locations of our clients or locations in which services are rendered.</w:t>
      </w:r>
    </w:p>
    <w:p>
      <w:pPr>
        <w:spacing w:after="0" w:line="164" w:lineRule="exact"/>
        <w:rPr>
          <w:sz w:val="20"/>
          <w:szCs w:val="20"/>
          <w:color w:val="auto"/>
        </w:rPr>
      </w:pPr>
    </w:p>
    <w:p>
      <w:pPr>
        <w:ind w:right="60" w:firstLine="477"/>
        <w:spacing w:after="0" w:line="274" w:lineRule="auto"/>
        <w:rPr>
          <w:sz w:val="20"/>
          <w:szCs w:val="20"/>
          <w:color w:val="auto"/>
        </w:rPr>
      </w:pPr>
      <w:r>
        <w:rPr>
          <w:rFonts w:ascii="Times New Roman" w:cs="Times New Roman" w:eastAsia="Times New Roman" w:hAnsi="Times New Roman"/>
          <w:sz w:val="18"/>
          <w:szCs w:val="18"/>
          <w:color w:val="auto"/>
        </w:rPr>
        <w:t>We define acquisition growth as revenues of acquired companies in the first 12 months following the effective date of an acquisition. When significant, we identify the impact of acquisition-related revenue growth.</w:t>
      </w:r>
    </w:p>
    <w:p>
      <w:pPr>
        <w:spacing w:after="0" w:line="110" w:lineRule="exact"/>
        <w:rPr>
          <w:sz w:val="20"/>
          <w:szCs w:val="20"/>
          <w:color w:val="auto"/>
        </w:rPr>
      </w:pPr>
    </w:p>
    <w:p>
      <w:pPr>
        <w:ind w:right="60" w:firstLine="477"/>
        <w:spacing w:after="0" w:line="255" w:lineRule="auto"/>
        <w:rPr>
          <w:sz w:val="20"/>
          <w:szCs w:val="20"/>
          <w:color w:val="auto"/>
        </w:rPr>
      </w:pPr>
      <w:r>
        <w:rPr>
          <w:rFonts w:ascii="Times New Roman" w:cs="Times New Roman" w:eastAsia="Times New Roman" w:hAnsi="Times New Roman"/>
          <w:sz w:val="18"/>
          <w:szCs w:val="18"/>
          <w:color w:val="auto"/>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ind w:firstLine="477"/>
        <w:spacing w:after="0" w:line="255" w:lineRule="auto"/>
        <w:rPr>
          <w:sz w:val="20"/>
          <w:szCs w:val="20"/>
          <w:color w:val="auto"/>
        </w:rPr>
      </w:pPr>
      <w:r>
        <w:rPr>
          <w:rFonts w:ascii="Times New Roman" w:cs="Times New Roman" w:eastAsia="Times New Roman" w:hAnsi="Times New Roman"/>
          <w:sz w:val="18"/>
          <w:szCs w:val="18"/>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spacing w:after="0" w:line="127" w:lineRule="exact"/>
        <w:rPr>
          <w:sz w:val="20"/>
          <w:szCs w:val="20"/>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Segment Operating Income</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Segment EBITDA</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Adjusted Segment EBITDA</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164" w:lineRule="exact"/>
        <w:rPr>
          <w:sz w:val="20"/>
          <w:szCs w:val="20"/>
          <w:color w:val="auto"/>
        </w:rPr>
      </w:pPr>
    </w:p>
    <w:p>
      <w:pPr>
        <w:ind w:right="880" w:firstLine="477"/>
        <w:spacing w:after="0" w:line="274" w:lineRule="auto"/>
        <w:rPr>
          <w:sz w:val="20"/>
          <w:szCs w:val="20"/>
          <w:color w:val="auto"/>
        </w:rPr>
      </w:pPr>
      <w:r>
        <w:rPr>
          <w:rFonts w:ascii="Times New Roman" w:cs="Times New Roman" w:eastAsia="Times New Roman" w:hAnsi="Times New Roman"/>
          <w:sz w:val="18"/>
          <w:szCs w:val="18"/>
          <w:color w:val="auto"/>
        </w:rPr>
        <w:t>We have included the definition of Segment Operating Income, which is a GAAP financial measure, below in order to more fully define the components of certain non-GAAP financial measures in the accompanying analysis of financial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 w:name="page19"/>
    <w:bookmarkEnd w:id="18"/>
    <w:p>
      <w:pPr>
        <w:ind w:firstLine="477"/>
        <w:spacing w:after="0" w:line="249" w:lineRule="auto"/>
        <w:rPr>
          <w:sz w:val="20"/>
          <w:szCs w:val="20"/>
          <w:color w:val="auto"/>
        </w:rPr>
      </w:pPr>
      <w:r>
        <w:rPr>
          <w:rFonts w:ascii="Times New Roman" w:cs="Times New Roman" w:eastAsia="Times New Roman" w:hAnsi="Times New Roman"/>
          <w:sz w:val="18"/>
          <w:szCs w:val="18"/>
          <w:color w:val="auto"/>
        </w:rPr>
        <w:t>We define Segment Operating Income as a segment’s share of consolidated operating income. We define Total Segment Operating Income, which is a non-GAAP financial measure, as the total of Segment Operating Income for all segments, which excludes unallocated corporate expenses. We use Segment Operating Income for the purpose of calculating Adjusted Segment EBITDA, which is a non-GAAP financial measure. We define Adjusted Segment EBITDA as Segment Operating Income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spacing w:after="0" w:line="137" w:lineRule="exact"/>
        <w:rPr>
          <w:sz w:val="20"/>
          <w:szCs w:val="20"/>
          <w:color w:val="auto"/>
        </w:rPr>
      </w:pPr>
    </w:p>
    <w:p>
      <w:pPr>
        <w:ind w:firstLine="477"/>
        <w:spacing w:after="0" w:line="249" w:lineRule="auto"/>
        <w:rPr>
          <w:sz w:val="20"/>
          <w:szCs w:val="20"/>
          <w:color w:val="auto"/>
        </w:rPr>
      </w:pPr>
      <w:r>
        <w:rPr>
          <w:rFonts w:ascii="Times New Roman" w:cs="Times New Roman" w:eastAsia="Times New Roman" w:hAnsi="Times New Roman"/>
          <w:sz w:val="18"/>
          <w:szCs w:val="18"/>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Therefore, we also believe that these non-GAAP financial measures, considered along with corresponding GAAP financial measures, provide management and investors with useful supplemental information.</w:t>
      </w:r>
    </w:p>
    <w:p>
      <w:pPr>
        <w:spacing w:after="0" w:line="134" w:lineRule="exact"/>
        <w:rPr>
          <w:sz w:val="20"/>
          <w:szCs w:val="20"/>
          <w:color w:val="auto"/>
        </w:rPr>
      </w:pPr>
    </w:p>
    <w:p>
      <w:pPr>
        <w:ind w:firstLine="477"/>
        <w:spacing w:after="0" w:line="251" w:lineRule="auto"/>
        <w:rPr>
          <w:sz w:val="20"/>
          <w:szCs w:val="20"/>
          <w:color w:val="auto"/>
        </w:rPr>
      </w:pPr>
      <w:r>
        <w:rPr>
          <w:rFonts w:ascii="Times New Roman" w:cs="Times New Roman" w:eastAsia="Times New Roman" w:hAnsi="Times New Roman"/>
          <w:sz w:val="18"/>
          <w:szCs w:val="18"/>
          <w:color w:val="auto"/>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32" w:lineRule="exact"/>
        <w:rPr>
          <w:sz w:val="20"/>
          <w:szCs w:val="20"/>
          <w:color w:val="auto"/>
        </w:rPr>
      </w:pPr>
    </w:p>
    <w:p>
      <w:pPr>
        <w:ind w:right="380" w:firstLine="477"/>
        <w:spacing w:after="0" w:line="255"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spacing w:after="0" w:line="127" w:lineRule="exact"/>
        <w:rPr>
          <w:sz w:val="20"/>
          <w:szCs w:val="20"/>
          <w:color w:val="auto"/>
        </w:rPr>
      </w:pPr>
    </w:p>
    <w:p>
      <w:pPr>
        <w:ind w:right="20" w:firstLine="477"/>
        <w:spacing w:after="0" w:line="255" w:lineRule="auto"/>
        <w:rPr>
          <w:sz w:val="20"/>
          <w:szCs w:val="20"/>
          <w:color w:val="auto"/>
        </w:rPr>
      </w:pPr>
      <w:r>
        <w:rPr>
          <w:rFonts w:ascii="Times New Roman" w:cs="Times New Roman" w:eastAsia="Times New Roman" w:hAnsi="Times New Roman"/>
          <w:sz w:val="18"/>
          <w:szCs w:val="18"/>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Condensed Consolidated Statements of Comprehensive Income and Condensed Consolidated Statements of Cash Flows. Reconciliations of these non-GAAP financial measures to the most directly comparable GAAP financial measures are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4"/>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340" w:type="dxa"/>
            <w:vAlign w:val="bottom"/>
          </w:tcPr>
          <w:p>
            <w:pPr>
              <w:spacing w:after="0"/>
              <w:rPr>
                <w:sz w:val="15"/>
                <w:szCs w:val="15"/>
                <w:color w:val="auto"/>
              </w:rPr>
            </w:pPr>
          </w:p>
        </w:tc>
        <w:tc>
          <w:tcPr>
            <w:tcW w:w="262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r>
      <w:tr>
        <w:trPr>
          <w:trHeight w:val="191"/>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40" w:type="dxa"/>
            <w:vAlign w:val="bottom"/>
          </w:tcPr>
          <w:p>
            <w:pPr>
              <w:spacing w:after="0"/>
              <w:rPr>
                <w:sz w:val="16"/>
                <w:szCs w:val="16"/>
                <w:color w:val="auto"/>
              </w:rPr>
            </w:pPr>
          </w:p>
        </w:tc>
        <w:tc>
          <w:tcPr>
            <w:tcW w:w="262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except per share data)</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949,156</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1,841,944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1,877,709</w:t>
            </w:r>
          </w:p>
        </w:tc>
      </w:tr>
      <w:tr>
        <w:trPr>
          <w:trHeight w:val="225"/>
        </w:trPr>
        <w:tc>
          <w:tcPr>
            <w:tcW w:w="5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Special charges </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163,912</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115,921</w:t>
            </w:r>
          </w:p>
        </w:tc>
        <w:tc>
          <w:tcPr>
            <w:tcW w:w="16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226,994</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(139,592)</w:t>
            </w: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1379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6" w:lineRule="exact"/>
        <w:rPr>
          <w:sz w:val="20"/>
          <w:szCs w:val="20"/>
          <w:color w:val="auto"/>
        </w:rPr>
      </w:pPr>
    </w:p>
    <w:p>
      <w:pPr>
        <w:ind w:left="620" w:hanging="614"/>
        <w:spacing w:after="0"/>
        <w:tabs>
          <w:tab w:leader="none" w:pos="6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Excluded from non-GAAP financial measures, including Adjusted EBITDA and Adjusted EPS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Executive Highlights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ind w:right="280" w:firstLine="477"/>
        <w:spacing w:after="0" w:line="255" w:lineRule="auto"/>
        <w:rPr>
          <w:sz w:val="20"/>
          <w:szCs w:val="20"/>
          <w:color w:val="auto"/>
        </w:rPr>
      </w:pPr>
      <w:r>
        <w:rPr>
          <w:rFonts w:ascii="Times New Roman" w:cs="Times New Roman" w:eastAsia="Times New Roman" w:hAnsi="Times New Roman"/>
          <w:sz w:val="18"/>
          <w:szCs w:val="18"/>
          <w:color w:val="auto"/>
        </w:rPr>
        <w:t>Revenues for the three months ended June 30, 2025 decreased $5.5 million, or 0.6%, compared to the three months ended June 30, 2024, which included a 1.3% estimated positive impact from FX. Excluding the estimated impact from FX, revenues decreased $17.6 million, or 1.8%, compared to the three months ended June 30, 2024, due to lower revenues in our Economic Consulting and Technology segments, which was partially offset by higher revenues in our Corporate Finance, FLC and Strategic Communications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8" w:lineRule="exact"/>
        <w:rPr>
          <w:sz w:val="20"/>
          <w:szCs w:val="20"/>
          <w:color w:val="auto"/>
        </w:rPr>
      </w:pPr>
    </w:p>
    <w:p>
      <w:pPr>
        <w:ind w:right="80" w:firstLine="477"/>
        <w:spacing w:after="0" w:line="255" w:lineRule="auto"/>
        <w:rPr>
          <w:sz w:val="20"/>
          <w:szCs w:val="20"/>
          <w:color w:val="auto"/>
        </w:rPr>
      </w:pPr>
      <w:r>
        <w:rPr>
          <w:rFonts w:ascii="Times New Roman" w:cs="Times New Roman" w:eastAsia="Times New Roman" w:hAnsi="Times New Roman"/>
          <w:sz w:val="18"/>
          <w:szCs w:val="18"/>
          <w:color w:val="auto"/>
        </w:rPr>
        <w:t>Net income for the three months ended June 30, 2025 decreased $12.2 million, or 14.6%, compared to the three months ended June 30, 2024. The decrease in net income was primarily due to lower revenues, an increase in direct costs, which includes higher forgivable loan amortization expenses, an FX remeasurement loss compared to a gain in the same quarter in the prior year and a higher effective tax rate, which was partially offset by a decrease in selling, general and administrative (“SG&amp;A”)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ind w:right="100" w:firstLine="477"/>
        <w:spacing w:after="0" w:line="255" w:lineRule="auto"/>
        <w:rPr>
          <w:sz w:val="20"/>
          <w:szCs w:val="20"/>
          <w:color w:val="auto"/>
        </w:rPr>
      </w:pPr>
      <w:r>
        <w:rPr>
          <w:rFonts w:ascii="Times New Roman" w:cs="Times New Roman" w:eastAsia="Times New Roman" w:hAnsi="Times New Roman"/>
          <w:sz w:val="18"/>
          <w:szCs w:val="18"/>
          <w:color w:val="auto"/>
        </w:rPr>
        <w:t>Adjusted EBITDA for the three months ended June 30, 2025 decreased $4.3 million, or 3.7%, compared to the three months ended June 30, 2024. Adjusted EBITDA Margin of 11.8% for the three months ended June 30, 2025 compared to 12.2% for the three months ended June 30, 2024. The decrease in Adjusted EBITDA was primarily due to lower revenues and an increase in direct costs, including higher forgivable loan amortization expenses, which was partially offset by a decrease in SG&amp;A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and Adjusted EPS</w:t>
      </w:r>
    </w:p>
    <w:p>
      <w:pPr>
        <w:spacing w:after="0" w:line="168" w:lineRule="exact"/>
        <w:rPr>
          <w:sz w:val="20"/>
          <w:szCs w:val="20"/>
          <w:color w:val="auto"/>
        </w:rPr>
      </w:pPr>
    </w:p>
    <w:p>
      <w:pPr>
        <w:ind w:right="160" w:firstLine="477"/>
        <w:spacing w:after="0" w:line="304" w:lineRule="auto"/>
        <w:rPr>
          <w:sz w:val="20"/>
          <w:szCs w:val="20"/>
          <w:color w:val="auto"/>
        </w:rPr>
      </w:pPr>
      <w:r>
        <w:rPr>
          <w:rFonts w:ascii="Times New Roman" w:cs="Times New Roman" w:eastAsia="Times New Roman" w:hAnsi="Times New Roman"/>
          <w:sz w:val="17"/>
          <w:szCs w:val="17"/>
          <w:color w:val="auto"/>
        </w:rPr>
        <w:t>EPS for the three months ended June 30, 2025 decreased $0.21 to $2.13 compared to $2.34 for the three months ended June 30, 2024. The decrease in EPS was primarily due to lower net income as described above, which was partially offset by a decrease in diluted weighted average shares outstanding.</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EPS was equal to EPS for the three months ended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Allocation</w:t>
      </w:r>
    </w:p>
    <w:p>
      <w:pPr>
        <w:spacing w:after="0" w:line="168" w:lineRule="exact"/>
        <w:rPr>
          <w:sz w:val="20"/>
          <w:szCs w:val="20"/>
          <w:color w:val="auto"/>
        </w:rPr>
      </w:pPr>
    </w:p>
    <w:p>
      <w:pPr>
        <w:ind w:right="180" w:firstLine="477"/>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June 30, 2025 decreased $79.5 million, or 58.8%, to $55.7 million compared to $135.2 million for the three months ended June 30, 2024. The decrease in net cash provided by operating activities was primarily due to an increase in forgivable loan issuances, compensation and income tax payments, which was partially offset by higher cash collections. Days sales outstanding (“DSO”) of 100 days at June 30, 2025 compared to 105 days at June 30,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p>
      <w:pPr>
        <w:jc w:val="both"/>
        <w:ind w:right="200" w:firstLine="477"/>
        <w:spacing w:after="0" w:line="259" w:lineRule="auto"/>
        <w:rPr>
          <w:sz w:val="20"/>
          <w:szCs w:val="20"/>
          <w:color w:val="auto"/>
        </w:rPr>
      </w:pPr>
      <w:r>
        <w:rPr>
          <w:rFonts w:ascii="Times New Roman" w:cs="Times New Roman" w:eastAsia="Times New Roman" w:hAnsi="Times New Roman"/>
          <w:sz w:val="18"/>
          <w:szCs w:val="18"/>
          <w:color w:val="auto"/>
        </w:rPr>
        <w:t>Free Cash Flow was an inflow of $38.3 million and $125.2 million for the three months ended June 30, 2025 and 2024, respectively. The decrease in Free Cash Flow was primarily due to lower net cash provided by operating activities, as described above, and higher net cash used for purchases of property and equipment.</w:t>
      </w:r>
    </w:p>
    <w:p>
      <w:pPr>
        <w:spacing w:after="0" w:line="125" w:lineRule="exact"/>
        <w:rPr>
          <w:sz w:val="20"/>
          <w:szCs w:val="20"/>
          <w:color w:val="auto"/>
        </w:rPr>
      </w:pPr>
    </w:p>
    <w:p>
      <w:pPr>
        <w:ind w:right="200" w:firstLine="636"/>
        <w:spacing w:after="0" w:line="430" w:lineRule="auto"/>
        <w:rPr>
          <w:sz w:val="20"/>
          <w:szCs w:val="20"/>
          <w:color w:val="auto"/>
        </w:rPr>
      </w:pPr>
      <w:r>
        <w:rPr>
          <w:rFonts w:ascii="Times New Roman" w:cs="Times New Roman" w:eastAsia="Times New Roman" w:hAnsi="Times New Roman"/>
          <w:sz w:val="18"/>
          <w:szCs w:val="18"/>
          <w:color w:val="auto"/>
        </w:rPr>
        <w:t xml:space="preserve">During the three months ended June 30, 2025, we made $354.0 million in payments for common stock repurchases under the Repurchase Program. </w:t>
      </w:r>
      <w:r>
        <w:rPr>
          <w:rFonts w:ascii="Times New Roman" w:cs="Times New Roman" w:eastAsia="Times New Roman" w:hAnsi="Times New Roman"/>
          <w:sz w:val="18"/>
          <w:szCs w:val="18"/>
          <w:b w:val="1"/>
          <w:bCs w:val="1"/>
          <w:i w:val="1"/>
          <w:iCs w:val="1"/>
          <w:color w:val="auto"/>
        </w:rPr>
        <w:t>Recent Legislation</w:t>
      </w:r>
    </w:p>
    <w:p>
      <w:pPr>
        <w:ind w:right="500" w:firstLine="477"/>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is expected to have immaterial impacts on the future effective tax 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includes the net headcount reductions by segment and in total for the six months ended June 30,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Non-Billable</w:t>
            </w:r>
          </w:p>
        </w:tc>
        <w:tc>
          <w:tcPr>
            <w:tcW w:w="9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0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0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Strategic</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60" w:type="dxa"/>
            <w:vAlign w:val="bottom"/>
            <w:gridSpan w:val="2"/>
            <w:vMerge w:val="continue"/>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60" w:type="dxa"/>
            <w:vAlign w:val="bottom"/>
            <w:gridSpan w:val="2"/>
            <w:vMerge w:val="continue"/>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020" w:type="dxa"/>
            <w:vAlign w:val="bottom"/>
            <w:gridSpan w:val="2"/>
            <w:vMerge w:val="continue"/>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25"/>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net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225"/>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net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7,907</w:t>
            </w:r>
          </w:p>
        </w:tc>
        <w:tc>
          <w:tcPr>
            <w:tcW w:w="0" w:type="dxa"/>
            <w:vAlign w:val="bottom"/>
          </w:tcPr>
          <w:p>
            <w:pPr>
              <w:spacing w:after="0"/>
              <w:rPr>
                <w:sz w:val="1"/>
                <w:szCs w:val="1"/>
                <w:color w:val="auto"/>
              </w:rPr>
            </w:pPr>
          </w:p>
        </w:tc>
      </w:tr>
      <w:tr>
        <w:trPr>
          <w:trHeight w:val="172"/>
        </w:trPr>
        <w:tc>
          <w:tcPr>
            <w:tcW w:w="28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Percentage change in headcount from</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Consolidated Operating Results: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32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(in thousands, except per share data)</w:t>
            </w:r>
          </w:p>
        </w:tc>
        <w:tc>
          <w:tcPr>
            <w:tcW w:w="420" w:type="dxa"/>
            <w:vAlign w:val="bottom"/>
          </w:tcPr>
          <w:p>
            <w:pPr>
              <w:spacing w:after="0"/>
              <w:rPr>
                <w:sz w:val="18"/>
                <w:szCs w:val="18"/>
                <w:color w:val="auto"/>
              </w:rPr>
            </w:pPr>
          </w:p>
        </w:tc>
        <w:tc>
          <w:tcPr>
            <w:tcW w:w="32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379,239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347,971</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722,884</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713,981</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186,517</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377,119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345,570</w:t>
            </w:r>
          </w:p>
        </w:tc>
        <w:tc>
          <w:tcPr>
            <w:tcW w:w="0" w:type="dxa"/>
            <w:vAlign w:val="bottom"/>
          </w:tcPr>
          <w:p>
            <w:pPr>
              <w:spacing w:after="0"/>
              <w:rPr>
                <w:sz w:val="1"/>
                <w:szCs w:val="1"/>
                <w:color w:val="auto"/>
              </w:rPr>
            </w:pPr>
          </w:p>
        </w:tc>
      </w:tr>
      <w:tr>
        <w:trPr>
          <w:trHeight w:val="225"/>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435,421</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83,599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180,755</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216,588</w:t>
            </w:r>
          </w:p>
        </w:tc>
        <w:tc>
          <w:tcPr>
            <w:tcW w:w="0" w:type="dxa"/>
            <w:vAlign w:val="bottom"/>
          </w:tcPr>
          <w:p>
            <w:pPr>
              <w:spacing w:after="0"/>
              <w:rPr>
                <w:sz w:val="1"/>
                <w:szCs w:val="1"/>
                <w:color w:val="auto"/>
              </w:rPr>
            </w:pPr>
          </w:p>
        </w:tc>
      </w:tr>
      <w:tr>
        <w:trPr>
          <w:trHeight w:val="225"/>
        </w:trPr>
        <w:tc>
          <w:tcPr>
            <w:tcW w:w="37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102,650</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84,941</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166,149</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943,662</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949,156</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1,841,944</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1,877,709</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119,078</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135,112</w:t>
            </w:r>
          </w:p>
        </w:tc>
        <w:tc>
          <w:tcPr>
            <w:tcW w:w="0" w:type="dxa"/>
            <w:vAlign w:val="bottom"/>
          </w:tcPr>
          <w:p>
            <w:pPr>
              <w:spacing w:after="0"/>
              <w:rPr>
                <w:sz w:val="1"/>
                <w:szCs w:val="1"/>
                <w:color w:val="auto"/>
              </w:rPr>
            </w:pPr>
          </w:p>
        </w:tc>
      </w:tr>
      <w:tr>
        <w:trPr>
          <w:trHeight w:val="225"/>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0" w:type="dxa"/>
            <w:vAlign w:val="bottom"/>
          </w:tcPr>
          <w:p>
            <w:pPr>
              <w:spacing w:after="0"/>
              <w:rPr>
                <w:sz w:val="1"/>
                <w:szCs w:val="1"/>
                <w:color w:val="auto"/>
              </w:rPr>
            </w:pPr>
          </w:p>
        </w:tc>
      </w:tr>
      <w:tr>
        <w:trPr>
          <w:trHeight w:val="225"/>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0" w:type="dxa"/>
            <w:vAlign w:val="bottom"/>
          </w:tcPr>
          <w:p>
            <w:pPr>
              <w:spacing w:after="0"/>
              <w:rPr>
                <w:sz w:val="1"/>
                <w:szCs w:val="1"/>
                <w:color w:val="auto"/>
              </w:rPr>
            </w:pPr>
          </w:p>
        </w:tc>
      </w:tr>
      <w:tr>
        <w:trPr>
          <w:trHeight w:val="219"/>
        </w:trPr>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286,140</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(39,776)</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(82,415)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99,264</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104,092</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177,971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203,725</w:t>
            </w: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5"/>
        </w:trPr>
        <w:tc>
          <w:tcPr>
            <w:tcW w:w="3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19"/>
        </w:trPr>
        <w:tc>
          <w:tcPr>
            <w:tcW w:w="37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172,520</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202,177</w:t>
            </w:r>
          </w:p>
        </w:tc>
        <w:tc>
          <w:tcPr>
            <w:tcW w:w="0" w:type="dxa"/>
            <w:vAlign w:val="bottom"/>
          </w:tcPr>
          <w:p>
            <w:pPr>
              <w:spacing w:after="0"/>
              <w:rPr>
                <w:sz w:val="1"/>
                <w:szCs w:val="1"/>
                <w:color w:val="auto"/>
              </w:rPr>
            </w:pPr>
          </w:p>
        </w:tc>
      </w:tr>
      <w:tr>
        <w:trPr>
          <w:trHeight w:val="225"/>
        </w:trPr>
        <w:tc>
          <w:tcPr>
            <w:tcW w:w="3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38,265</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163,912</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420" w:type="dxa"/>
            <w:vAlign w:val="bottom"/>
            <w:tcBorders>
              <w:bottom w:val="single" w:sz="8" w:color="auto"/>
            </w:tcBorders>
          </w:tcPr>
          <w:p>
            <w:pPr>
              <w:jc w:val="right"/>
              <w:ind w:right="2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r>
      <w:tr>
        <w:trPr>
          <w:trHeight w:val="24"/>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163,912</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w:t>
            </w:r>
          </w:p>
        </w:tc>
      </w:tr>
      <w:tr>
        <w:trPr>
          <w:trHeight w:val="225"/>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5"/>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25"/>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r>
      <w:tr>
        <w:trPr>
          <w:trHeight w:val="225"/>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5"/>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5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32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9"/>
                <w:szCs w:val="19"/>
                <w:color w:val="auto"/>
              </w:rPr>
            </w:pPr>
          </w:p>
        </w:tc>
        <w:tc>
          <w:tcPr>
            <w:tcW w:w="28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71,698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163,912</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71,698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163,912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EPS</w:t>
            </w: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940" w:type="dxa"/>
            <w:vAlign w:val="bottom"/>
          </w:tcPr>
          <w:p>
            <w:pPr>
              <w:jc w:val="right"/>
              <w:ind w:right="759"/>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7"/>
                <w:szCs w:val="17"/>
                <w:color w:val="auto"/>
              </w:rPr>
            </w:pPr>
          </w:p>
        </w:tc>
        <w:tc>
          <w:tcPr>
            <w:tcW w:w="940" w:type="dxa"/>
            <w:vAlign w:val="bottom"/>
          </w:tcPr>
          <w:p>
            <w:pPr>
              <w:jc w:val="right"/>
              <w:ind w:right="735"/>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7"/>
                <w:szCs w:val="17"/>
                <w:color w:val="auto"/>
              </w:rPr>
            </w:pPr>
          </w:p>
        </w:tc>
        <w:tc>
          <w:tcPr>
            <w:tcW w:w="380" w:type="dxa"/>
            <w:vAlign w:val="bottom"/>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20" w:type="dxa"/>
            <w:vAlign w:val="bottom"/>
            <w:shd w:val="clear" w:color="auto" w:fill="CFF0FC"/>
          </w:tcPr>
          <w:p>
            <w:pPr>
              <w:ind w:left="180"/>
              <w:spacing w:after="0" w:line="139" w:lineRule="exact"/>
              <w:rPr>
                <w:sz w:val="20"/>
                <w:szCs w:val="20"/>
                <w:color w:val="auto"/>
              </w:rPr>
            </w:pPr>
            <w:r>
              <w:rPr>
                <w:rFonts w:ascii="Times New Roman" w:cs="Times New Roman" w:eastAsia="Times New Roman" w:hAnsi="Times New Roman"/>
                <w:sz w:val="15"/>
                <w:szCs w:val="15"/>
                <w:color w:val="auto"/>
              </w:rPr>
              <w:t>Weighted average number of common shares outstanding —</w:t>
            </w:r>
          </w:p>
        </w:tc>
        <w:tc>
          <w:tcPr>
            <w:tcW w:w="94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33,591</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34,541</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35,816</w:t>
            </w:r>
          </w:p>
        </w:tc>
        <w:tc>
          <w:tcPr>
            <w:tcW w:w="0" w:type="dxa"/>
            <w:vAlign w:val="bottom"/>
          </w:tcPr>
          <w:p>
            <w:pPr>
              <w:spacing w:after="0"/>
              <w:rPr>
                <w:sz w:val="1"/>
                <w:szCs w:val="1"/>
                <w:color w:val="auto"/>
              </w:rPr>
            </w:pPr>
          </w:p>
        </w:tc>
      </w:tr>
      <w:tr>
        <w:trPr>
          <w:trHeight w:val="232"/>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(Used in) Operating Activities to Free Cash Flow: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r>
      <w:tr>
        <w:trPr>
          <w:trHeight w:val="24"/>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center"/>
              <w:ind w:left="361"/>
              <w:spacing w:after="0"/>
              <w:rPr>
                <w:sz w:val="20"/>
                <w:szCs w:val="20"/>
                <w:color w:val="auto"/>
              </w:rPr>
            </w:pPr>
            <w:r>
              <w:rPr>
                <w:rFonts w:ascii="Times New Roman" w:cs="Times New Roman" w:eastAsia="Times New Roman" w:hAnsi="Times New Roman"/>
                <w:sz w:val="18"/>
                <w:szCs w:val="18"/>
                <w:color w:val="auto"/>
                <w:w w:val="96"/>
              </w:rPr>
              <w:t>55,693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135,226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(409,517)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(139,592)</w:t>
            </w:r>
          </w:p>
        </w:tc>
      </w:tr>
      <w:tr>
        <w:trPr>
          <w:trHeight w:val="225"/>
        </w:trPr>
        <w:tc>
          <w:tcPr>
            <w:tcW w:w="5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8"/>
                <w:szCs w:val="18"/>
                <w:color w:val="auto"/>
                <w:w w:val="97"/>
              </w:rPr>
              <w:t>(17,425)</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7"/>
              </w:rPr>
              <w:t>(10,060)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(14,701)</w:t>
            </w:r>
          </w:p>
        </w:tc>
      </w:tr>
      <w:tr>
        <w:trPr>
          <w:trHeight w:val="244"/>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center"/>
              <w:ind w:left="361"/>
              <w:spacing w:after="0"/>
              <w:rPr>
                <w:sz w:val="20"/>
                <w:szCs w:val="20"/>
                <w:color w:val="auto"/>
              </w:rPr>
            </w:pPr>
            <w:r>
              <w:rPr>
                <w:rFonts w:ascii="Times New Roman" w:cs="Times New Roman" w:eastAsia="Times New Roman" w:hAnsi="Times New Roman"/>
                <w:sz w:val="18"/>
                <w:szCs w:val="18"/>
                <w:color w:val="auto"/>
                <w:w w:val="96"/>
              </w:rPr>
              <w:t>38,268</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125,166</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(444,745)</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(154,293)</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68" w:lineRule="exact"/>
        <w:rPr>
          <w:sz w:val="20"/>
          <w:szCs w:val="20"/>
          <w:color w:val="auto"/>
        </w:rPr>
      </w:pPr>
    </w:p>
    <w:p>
      <w:pPr>
        <w:ind w:right="360" w:firstLine="477"/>
        <w:spacing w:after="0" w:line="274" w:lineRule="auto"/>
        <w:rPr>
          <w:sz w:val="20"/>
          <w:szCs w:val="20"/>
          <w:color w:val="auto"/>
        </w:rPr>
      </w:pPr>
      <w:r>
        <w:rPr>
          <w:rFonts w:ascii="Times New Roman" w:cs="Times New Roman" w:eastAsia="Times New Roman" w:hAnsi="Times New Roman"/>
          <w:sz w:val="18"/>
          <w:szCs w:val="18"/>
          <w:color w:val="auto"/>
        </w:rPr>
        <w:t>Unallocated corporate expenses decreased $3.1 million, or 7.2%, to $39.8 million for the three months ended June 30, 2025, primarily due to lower compensation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68" w:lineRule="exact"/>
        <w:rPr>
          <w:sz w:val="20"/>
          <w:szCs w:val="20"/>
          <w:color w:val="auto"/>
        </w:rPr>
      </w:pPr>
    </w:p>
    <w:p>
      <w:pPr>
        <w:ind w:right="180" w:firstLine="477"/>
        <w:spacing w:after="0" w:line="259"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$4.0 million to a $2.1 million loss for the three months ended June 30, 2025 compared to a $1.9 million gain for the three months ended June 30, 2024. The decrease was primarily due to a $3.1 million FX loss for the three months ended June 30, 2025 compared to a $0.5 million FX gain for the three months ended June 30, 2024.</w:t>
      </w:r>
    </w:p>
    <w:p>
      <w:pPr>
        <w:spacing w:after="0" w:line="125" w:lineRule="exact"/>
        <w:rPr>
          <w:sz w:val="20"/>
          <w:szCs w:val="20"/>
          <w:color w:val="auto"/>
        </w:rPr>
      </w:pPr>
    </w:p>
    <w:p>
      <w:pPr>
        <w:jc w:val="both"/>
        <w:ind w:right="60" w:firstLine="477"/>
        <w:spacing w:after="0" w:line="259" w:lineRule="auto"/>
        <w:rPr>
          <w:sz w:val="20"/>
          <w:szCs w:val="20"/>
          <w:color w:val="auto"/>
        </w:rPr>
      </w:pPr>
      <w:r>
        <w:rPr>
          <w:rFonts w:ascii="Times New Roman" w:cs="Times New Roman" w:eastAsia="Times New Roman" w:hAnsi="Times New Roman"/>
          <w:sz w:val="18"/>
          <w:szCs w:val="18"/>
          <w:color w:val="auto"/>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ind w:right="80" w:firstLine="477"/>
        <w:spacing w:after="0" w:line="274" w:lineRule="auto"/>
        <w:rPr>
          <w:sz w:val="20"/>
          <w:szCs w:val="20"/>
          <w:color w:val="auto"/>
        </w:rPr>
      </w:pPr>
      <w:r>
        <w:rPr>
          <w:rFonts w:ascii="Times New Roman" w:cs="Times New Roman" w:eastAsia="Times New Roman" w:hAnsi="Times New Roman"/>
          <w:sz w:val="18"/>
          <w:szCs w:val="18"/>
          <w:color w:val="auto"/>
        </w:rPr>
        <w:t>Interest expense increased $1.9 million, or 58.4%, to $5.3 million for the three months ended June 30, 2025, primarily due to higher borrowings on our senior unsecured bank revolving credit facility (“Credit Facility”), which was partially offset by lower interest rates on our borrowings.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68" w:lineRule="exact"/>
        <w:rPr>
          <w:sz w:val="20"/>
          <w:szCs w:val="20"/>
          <w:color w:val="auto"/>
        </w:rPr>
      </w:pPr>
    </w:p>
    <w:p>
      <w:pPr>
        <w:ind w:right="40" w:firstLine="477"/>
        <w:spacing w:after="0" w:line="252" w:lineRule="auto"/>
        <w:rPr>
          <w:sz w:val="20"/>
          <w:szCs w:val="20"/>
          <w:color w:val="auto"/>
        </w:rPr>
      </w:pPr>
      <w:r>
        <w:rPr>
          <w:rFonts w:ascii="Times New Roman" w:cs="Times New Roman" w:eastAsia="Times New Roman" w:hAnsi="Times New Roman"/>
          <w:sz w:val="18"/>
          <w:szCs w:val="18"/>
          <w:color w:val="auto"/>
        </w:rPr>
        <w:t>Our income tax provision increased $1.5 million, or 8.0%, to $20.2 million for the three months ended June 30, 2025 compared to $18.7 million for the three months ended June 30, 2024. Our effective tax rate of 22.0% for the three months ended June 30, 2025 compared to 18.2% for the three months ended June 30, 2024. The increase in the income tax provision was due to an increase in the effective tax rate. The effective tax rate for the three months ended June 30, 2025 was impacted by a less favorable tax benefit related to share-based compensation, as a smaller number of non-qualified stock options were exercised compared to the three months ended June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68" w:lineRule="exact"/>
        <w:rPr>
          <w:sz w:val="20"/>
          <w:szCs w:val="20"/>
          <w:color w:val="auto"/>
        </w:rPr>
      </w:pPr>
    </w:p>
    <w:p>
      <w:pPr>
        <w:ind w:right="240" w:firstLine="477"/>
        <w:spacing w:after="0" w:line="274" w:lineRule="auto"/>
        <w:rPr>
          <w:sz w:val="20"/>
          <w:szCs w:val="20"/>
          <w:color w:val="auto"/>
        </w:rPr>
      </w:pPr>
      <w:r>
        <w:rPr>
          <w:rFonts w:ascii="Times New Roman" w:cs="Times New Roman" w:eastAsia="Times New Roman" w:hAnsi="Times New Roman"/>
          <w:sz w:val="18"/>
          <w:szCs w:val="18"/>
          <w:color w:val="auto"/>
        </w:rPr>
        <w:t>Unallocated corporate expenses decreased $22.9 million, or 27.8%, to $59.5 million for the six months ended June 30, 2025, primarily due to a legal settlement gain recorded during the first quarter of 2025 and lower compensation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68" w:lineRule="exact"/>
        <w:rPr>
          <w:sz w:val="20"/>
          <w:szCs w:val="20"/>
          <w:color w:val="auto"/>
        </w:rPr>
      </w:pPr>
    </w:p>
    <w:p>
      <w:pPr>
        <w:ind w:right="360" w:firstLine="477"/>
        <w:spacing w:after="0" w:line="274"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$2.7 million, or 77.8%, to $0.8 million for the six months ended June 30, 2025, primarily due to a $4.4 million increase in FX losses, which was partially offset by a $1.4 million increase in interest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8" w:lineRule="exact"/>
        <w:rPr>
          <w:sz w:val="20"/>
          <w:szCs w:val="20"/>
          <w:color w:val="auto"/>
        </w:rPr>
      </w:pPr>
    </w:p>
    <w:p>
      <w:pPr>
        <w:ind w:right="220" w:firstLine="477"/>
        <w:spacing w:after="0" w:line="274" w:lineRule="auto"/>
        <w:rPr>
          <w:sz w:val="20"/>
          <w:szCs w:val="20"/>
          <w:color w:val="auto"/>
        </w:rPr>
      </w:pPr>
      <w:r>
        <w:rPr>
          <w:rFonts w:ascii="Times New Roman" w:cs="Times New Roman" w:eastAsia="Times New Roman" w:hAnsi="Times New Roman"/>
          <w:sz w:val="18"/>
          <w:szCs w:val="18"/>
          <w:color w:val="auto"/>
        </w:rPr>
        <w:t>Interest expense increased $1.2 million, or 23.6%, to $6.2 million for the six months ended June 30, 2025, primarily due to higher borrowings on our Credit Facility, which was partially offset by lower interest rates on our borrowings.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68" w:lineRule="exact"/>
        <w:rPr>
          <w:sz w:val="20"/>
          <w:szCs w:val="20"/>
          <w:color w:val="auto"/>
        </w:rPr>
      </w:pPr>
    </w:p>
    <w:p>
      <w:pPr>
        <w:ind w:firstLine="477"/>
        <w:spacing w:after="0" w:line="252" w:lineRule="auto"/>
        <w:rPr>
          <w:sz w:val="20"/>
          <w:szCs w:val="20"/>
          <w:color w:val="auto"/>
        </w:rPr>
      </w:pPr>
      <w:r>
        <w:rPr>
          <w:rFonts w:ascii="Times New Roman" w:cs="Times New Roman" w:eastAsia="Times New Roman" w:hAnsi="Times New Roman"/>
          <w:sz w:val="18"/>
          <w:szCs w:val="18"/>
          <w:color w:val="auto"/>
        </w:rPr>
        <w:t>Our income tax provision increased $0.7 million, or 1.9%, to $39.0 million for the six months ended June 30, 2025 compared to $38.3 million for the six months ended June 30, 2024. Our effective tax rate of 22.6% for the six months ended June 30, 2025 compared to 18.9% for the six months ended June 30, 2024. The increase in the income tax provision was due to an increase in the effective tax rate. The effective tax rate for the six months ended June 30, 2025 was impacted by a less favorable tax benefit related to share-based compensation, as a smaller number of non-qualified stock options were exercised compared to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EBITDA</w:t>
      </w:r>
    </w:p>
    <w:p>
      <w:pPr>
        <w:spacing w:after="0" w:line="168" w:lineRule="exact"/>
        <w:rPr>
          <w:sz w:val="20"/>
          <w:szCs w:val="20"/>
          <w:color w:val="auto"/>
        </w:rPr>
      </w:pPr>
    </w:p>
    <w:p>
      <w:pPr>
        <w:ind w:right="160" w:firstLine="477"/>
        <w:spacing w:after="0" w:line="259" w:lineRule="auto"/>
        <w:rPr>
          <w:sz w:val="20"/>
          <w:szCs w:val="20"/>
          <w:color w:val="auto"/>
        </w:rPr>
      </w:pPr>
      <w:r>
        <w:rPr>
          <w:rFonts w:ascii="Times New Roman" w:cs="Times New Roman" w:eastAsia="Times New Roman" w:hAnsi="Times New Roman"/>
          <w:sz w:val="18"/>
          <w:szCs w:val="18"/>
          <w:color w:val="auto"/>
        </w:rPr>
        <w:t>We evaluate the performance of each of our operating segments based on multiple measures of segment profit, including Adjusted Segment EBITDA, which is a non-GAAP financial measure. The following tables reconcile Segment Operating Income to Adjusted Segment EBITDA for the three and six months ended June 30,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00" w:type="dxa"/>
            <w:vAlign w:val="bottom"/>
          </w:tcPr>
          <w:p>
            <w:pPr>
              <w:spacing w:after="0"/>
              <w:rPr>
                <w:sz w:val="13"/>
                <w:szCs w:val="13"/>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71,698</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20,241</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99,264</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11,323</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81,652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14,183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111,640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2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00" w:type="dxa"/>
            <w:vAlign w:val="bottom"/>
          </w:tcPr>
          <w:p>
            <w:pPr>
              <w:spacing w:after="0"/>
              <w:rPr>
                <w:sz w:val="24"/>
                <w:szCs w:val="2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133,522</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38,998</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177,971</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11,696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25,295</w:t>
            </w:r>
          </w:p>
        </w:tc>
        <w:tc>
          <w:tcPr>
            <w:tcW w:w="0" w:type="dxa"/>
            <w:vAlign w:val="bottom"/>
          </w:tcPr>
          <w:p>
            <w:pPr>
              <w:spacing w:after="0"/>
              <w:rPr>
                <w:sz w:val="1"/>
                <w:szCs w:val="1"/>
                <w:color w:val="auto"/>
              </w:rPr>
            </w:pPr>
          </w:p>
        </w:tc>
      </w:tr>
      <w:tr>
        <w:trPr>
          <w:trHeight w:val="232"/>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137,599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28,614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226,804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2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00" w:type="dxa"/>
            <w:vAlign w:val="bottom"/>
          </w:tcPr>
          <w:p>
            <w:pPr>
              <w:spacing w:after="0"/>
              <w:rPr>
                <w:sz w:val="24"/>
                <w:szCs w:val="2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83,947</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18,735</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63,193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42,952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104,092</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0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66,467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44,296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20,930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115,921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2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00" w:type="dxa"/>
            <w:vAlign w:val="bottom"/>
          </w:tcPr>
          <w:p>
            <w:pPr>
              <w:spacing w:after="0"/>
              <w:rPr>
                <w:sz w:val="24"/>
                <w:szCs w:val="2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163,912</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38,265</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203,725</w:t>
            </w:r>
          </w:p>
        </w:tc>
        <w:tc>
          <w:tcPr>
            <w:tcW w:w="0" w:type="dxa"/>
            <w:vAlign w:val="bottom"/>
          </w:tcPr>
          <w:p>
            <w:pPr>
              <w:spacing w:after="0"/>
              <w:rPr>
                <w:sz w:val="1"/>
                <w:szCs w:val="1"/>
                <w:color w:val="auto"/>
              </w:rPr>
            </w:pPr>
          </w:p>
        </w:tc>
      </w:tr>
      <w:tr>
        <w:trPr>
          <w:trHeight w:val="210"/>
        </w:trPr>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0" w:type="dxa"/>
            <w:vAlign w:val="bottom"/>
          </w:tcPr>
          <w:p>
            <w:pPr>
              <w:spacing w:after="0"/>
              <w:rPr>
                <w:sz w:val="1"/>
                <w:szCs w:val="1"/>
                <w:color w:val="auto"/>
              </w:rPr>
            </w:pPr>
          </w:p>
        </w:tc>
      </w:tr>
      <w:tr>
        <w:trPr>
          <w:trHeight w:val="214"/>
        </w:trPr>
        <w:tc>
          <w:tcPr>
            <w:tcW w:w="3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0" w:type="dxa"/>
            <w:vAlign w:val="bottom"/>
          </w:tcPr>
          <w:p>
            <w:pPr>
              <w:spacing w:after="0"/>
              <w:rPr>
                <w:sz w:val="1"/>
                <w:szCs w:val="1"/>
                <w:color w:val="auto"/>
              </w:rPr>
            </w:pPr>
          </w:p>
        </w:tc>
      </w:tr>
      <w:tr>
        <w:trPr>
          <w:trHeight w:val="20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141,692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58,446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35,511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(81,395)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226,994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Total Adjusted Segment EBITDA</w:t>
      </w:r>
    </w:p>
    <w:p>
      <w:pPr>
        <w:spacing w:after="0" w:line="168" w:lineRule="exact"/>
        <w:rPr>
          <w:sz w:val="20"/>
          <w:szCs w:val="20"/>
          <w:color w:val="auto"/>
        </w:rPr>
      </w:pPr>
    </w:p>
    <w:p>
      <w:pPr>
        <w:ind w:right="200" w:firstLine="477"/>
        <w:spacing w:after="0" w:line="259" w:lineRule="auto"/>
        <w:rPr>
          <w:sz w:val="20"/>
          <w:szCs w:val="20"/>
          <w:color w:val="auto"/>
        </w:rPr>
      </w:pPr>
      <w:r>
        <w:rPr>
          <w:rFonts w:ascii="Times New Roman" w:cs="Times New Roman" w:eastAsia="Times New Roman" w:hAnsi="Times New Roman"/>
          <w:sz w:val="18"/>
          <w:szCs w:val="18"/>
          <w:color w:val="auto"/>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three and six months ended June 30,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4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r>
      <w:tr>
        <w:trPr>
          <w:trHeight w:val="24"/>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133,522</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163,912</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38,265</w:t>
            </w:r>
          </w:p>
        </w:tc>
      </w:tr>
      <w:tr>
        <w:trPr>
          <w:trHeight w:val="225"/>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5"/>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25"/>
        </w:trPr>
        <w:tc>
          <w:tcPr>
            <w:tcW w:w="48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39,776</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42,884</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82,415</w:t>
            </w:r>
          </w:p>
        </w:tc>
      </w:tr>
      <w:tr>
        <w:trPr>
          <w:trHeight w:val="219"/>
        </w:trPr>
        <w:tc>
          <w:tcPr>
            <w:tcW w:w="4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139,040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146,976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286,140</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20,153</w:t>
            </w:r>
          </w:p>
        </w:tc>
      </w:tr>
      <w:tr>
        <w:trPr>
          <w:trHeight w:val="225"/>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5"/>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Adjusted Segment EBITDA</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283,184</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308,389</w:t>
            </w: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Operating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billable professionals</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Utilization rates of billable professionals: </w:t>
            </w:r>
            <w:r>
              <w:rPr>
                <w:rFonts w:ascii="Times New Roman" w:cs="Times New Roman" w:eastAsia="Times New Roman" w:hAnsi="Times New Roman"/>
                <w:sz w:val="22"/>
                <w:szCs w:val="22"/>
                <w:color w:val="auto"/>
                <w:vertAlign w:val="superscript"/>
              </w:rPr>
              <w:t>(2)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Average billable rate per hour: </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379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right="600" w:hanging="11"/>
        <w:spacing w:after="0" w:line="259" w:lineRule="auto"/>
        <w:rPr>
          <w:sz w:val="20"/>
          <w:szCs w:val="20"/>
          <w:color w:val="auto"/>
        </w:rPr>
      </w:pPr>
      <w:r>
        <w:rPr>
          <w:rFonts w:ascii="Times New Roman" w:cs="Times New Roman" w:eastAsia="Times New Roman" w:hAnsi="Times New Roman"/>
          <w:sz w:val="18"/>
          <w:szCs w:val="18"/>
          <w:color w:val="auto"/>
        </w:rPr>
        <w:t>The number of billable professionals for the Technology segment excludes as-needed professionals, who we employ based on demand for the segment’s services. We employed an average of 357 and 899 as-needed employees during the three months ended June 30, 2025 and 2024, respectively.</w:t>
      </w:r>
    </w:p>
    <w:p>
      <w:pPr>
        <w:spacing w:after="0" w:line="125" w:lineRule="exact"/>
        <w:rPr>
          <w:sz w:val="20"/>
          <w:szCs w:val="20"/>
          <w:color w:val="auto"/>
        </w:rPr>
      </w:pPr>
    </w:p>
    <w:p>
      <w:pPr>
        <w:ind w:right="200" w:hanging="11"/>
        <w:spacing w:after="0" w:line="268" w:lineRule="auto"/>
        <w:rPr>
          <w:sz w:val="20"/>
          <w:szCs w:val="20"/>
          <w:color w:val="auto"/>
        </w:rPr>
      </w:pPr>
      <w:r>
        <w:rPr>
          <w:rFonts w:ascii="Times New Roman" w:cs="Times New Roman" w:eastAsia="Times New Roman" w:hAnsi="Times New Roman"/>
          <w:sz w:val="17"/>
          <w:szCs w:val="17"/>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w:t>
      </w:r>
    </w:p>
    <w:p>
      <w:pPr>
        <w:spacing w:after="0" w:line="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holidays. Available working hours include vacation and professional training days, but exclude local country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spacing w:after="0" w:line="134" w:lineRule="exact"/>
        <w:rPr>
          <w:sz w:val="20"/>
          <w:szCs w:val="20"/>
          <w:color w:val="auto"/>
        </w:rPr>
      </w:pPr>
    </w:p>
    <w:p>
      <w:pPr>
        <w:ind w:right="200" w:hanging="11"/>
        <w:spacing w:after="0" w:line="255" w:lineRule="auto"/>
        <w:rPr>
          <w:sz w:val="20"/>
          <w:szCs w:val="20"/>
          <w:color w:val="auto"/>
        </w:rPr>
      </w:pPr>
      <w:r>
        <w:rPr>
          <w:rFonts w:ascii="Times New Roman" w:cs="Times New Roman" w:eastAsia="Times New Roman" w:hAnsi="Times New Roman"/>
          <w:sz w:val="18"/>
          <w:szCs w:val="18"/>
          <w:color w:val="auto"/>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pacing w:after="0" w:line="200" w:lineRule="exact"/>
        <w:rPr>
          <w:sz w:val="20"/>
          <w:szCs w:val="20"/>
          <w:color w:val="auto"/>
        </w:rPr>
      </w:pPr>
    </w:p>
    <w:p>
      <w:pPr>
        <w:sectPr>
          <w:pgSz w:w="11900" w:h="16838" w:orient="portrait"/>
          <w:cols w:equalWidth="0" w:num="2">
            <w:col w:w="140" w:space="500"/>
            <w:col w:w="10600"/>
          </w:cols>
          <w:pgMar w:left="320" w:top="872"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CORPORATE FINANCE &amp; RESTRUCTURING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4"/>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r>
      <w:tr>
        <w:trPr>
          <w:trHeight w:val="191"/>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379,239</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347,971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722,884</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713,981</w:t>
            </w:r>
          </w:p>
        </w:tc>
      </w:tr>
      <w:tr>
        <w:trPr>
          <w:trHeight w:val="218"/>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246,151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231,569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477,723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469,759</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54,204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112,912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107,563</w:t>
            </w: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1,547</w:t>
            </w:r>
          </w:p>
        </w:tc>
      </w:tr>
      <w:tr>
        <w:trPr>
          <w:trHeight w:val="218"/>
        </w:trPr>
        <w:tc>
          <w:tcPr>
            <w:tcW w:w="4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301,111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284,778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603,806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578,869</w:t>
            </w:r>
          </w:p>
        </w:tc>
      </w:tr>
      <w:tr>
        <w:trPr>
          <w:trHeight w:val="218"/>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78,128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119,078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135,112</w:t>
            </w:r>
          </w:p>
        </w:tc>
      </w:tr>
      <w:tr>
        <w:trPr>
          <w:trHeight w:val="172"/>
        </w:trPr>
        <w:tc>
          <w:tcPr>
            <w:tcW w:w="4980" w:type="dxa"/>
            <w:vAlign w:val="bottom"/>
          </w:tcPr>
          <w:p>
            <w:pPr>
              <w:ind w:left="620"/>
              <w:spacing w:after="0" w:line="172"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6,580</w:t>
            </w:r>
          </w:p>
        </w:tc>
      </w:tr>
      <w:tr>
        <w:trPr>
          <w:trHeight w:val="225"/>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81,652</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66,467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137,599</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141,692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133,088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245,161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244,222</w:t>
            </w:r>
          </w:p>
        </w:tc>
      </w:tr>
      <w:tr>
        <w:trPr>
          <w:trHeight w:val="225"/>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r>
      <w:tr>
        <w:trPr>
          <w:trHeight w:val="172"/>
        </w:trPr>
        <w:tc>
          <w:tcPr>
            <w:tcW w:w="498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13798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54" w:lineRule="exact"/>
        <w:rPr>
          <w:sz w:val="20"/>
          <w:szCs w:val="20"/>
          <w:color w:val="auto"/>
        </w:rPr>
      </w:pPr>
    </w:p>
    <w:p>
      <w:pPr>
        <w:sectPr>
          <w:pgSz w:w="11900" w:h="16838" w:orient="portrait"/>
          <w:cols w:equalWidth="0" w:num="2">
            <w:col w:w="140" w:space="480"/>
            <w:col w:w="10620"/>
          </w:cols>
          <w:pgMar w:left="320" w:top="87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6" w:lineRule="exact"/>
        <w:rPr>
          <w:sz w:val="20"/>
          <w:szCs w:val="20"/>
          <w:color w:val="auto"/>
        </w:rPr>
      </w:pPr>
    </w:p>
    <w:p>
      <w:pPr>
        <w:ind w:right="240" w:firstLine="477"/>
        <w:spacing w:after="0" w:line="304" w:lineRule="auto"/>
        <w:rPr>
          <w:sz w:val="20"/>
          <w:szCs w:val="20"/>
          <w:color w:val="auto"/>
        </w:rPr>
      </w:pPr>
      <w:r>
        <w:rPr>
          <w:rFonts w:ascii="Times New Roman" w:cs="Times New Roman" w:eastAsia="Times New Roman" w:hAnsi="Times New Roman"/>
          <w:sz w:val="17"/>
          <w:szCs w:val="17"/>
          <w:color w:val="auto"/>
        </w:rPr>
        <w:t>Revenues increased $31.3 million, or 9.0%, to $379.2 million for the three months ended June 30, 2025, primarily due to higher demand for our restructuring and transactions services and higher realized bill rates, which was partially offset by lower demand for our transformation &amp; strategy services.</w:t>
      </w:r>
    </w:p>
    <w:p>
      <w:pPr>
        <w:spacing w:after="0" w:line="88" w:lineRule="exact"/>
        <w:rPr>
          <w:sz w:val="20"/>
          <w:szCs w:val="20"/>
          <w:color w:val="auto"/>
        </w:rPr>
      </w:pPr>
    </w:p>
    <w:p>
      <w:pPr>
        <w:ind w:right="740" w:firstLine="477"/>
        <w:spacing w:after="0" w:line="304" w:lineRule="auto"/>
        <w:rPr>
          <w:sz w:val="20"/>
          <w:szCs w:val="20"/>
          <w:color w:val="auto"/>
        </w:rPr>
      </w:pPr>
      <w:r>
        <w:rPr>
          <w:rFonts w:ascii="Times New Roman" w:cs="Times New Roman" w:eastAsia="Times New Roman" w:hAnsi="Times New Roman"/>
          <w:sz w:val="17"/>
          <w:szCs w:val="17"/>
          <w:color w:val="auto"/>
        </w:rPr>
        <w:t>Gross profit increased $16.7 million, or 14.3%, to $133.1 million for the three months ended June 30, 2025. Gross profit margin increased 1.6 percentage points for the three months ended June 30, 2025. The increase in gross profit margin was primarily due to higher realized bill rates.</w:t>
      </w:r>
    </w:p>
    <w:p>
      <w:pPr>
        <w:spacing w:after="0" w:line="88" w:lineRule="exact"/>
        <w:rPr>
          <w:sz w:val="20"/>
          <w:szCs w:val="20"/>
          <w:color w:val="auto"/>
        </w:rPr>
      </w:pPr>
    </w:p>
    <w:p>
      <w:pPr>
        <w:jc w:val="both"/>
        <w:ind w:right="60" w:firstLine="477"/>
        <w:spacing w:after="0" w:line="255" w:lineRule="auto"/>
        <w:rPr>
          <w:sz w:val="20"/>
          <w:szCs w:val="20"/>
          <w:color w:val="auto"/>
        </w:rPr>
      </w:pPr>
      <w:r>
        <w:rPr>
          <w:rFonts w:ascii="Times New Roman" w:cs="Times New Roman" w:eastAsia="Times New Roman" w:hAnsi="Times New Roman"/>
          <w:sz w:val="18"/>
          <w:szCs w:val="18"/>
          <w:color w:val="auto"/>
        </w:rPr>
        <w:t>SG&amp;A expenses increased $1.7 million, or 3.3%, to $54.2 million for the three months ended June 30, 2025, which included a 1.0% estimated negative impact from FX. SG&amp;A expenses of 14.3% of revenues for the three months ended June 30, 2025 compared to 15.1% of revenues for the three months ended June 30, 2024. The increase in SG&amp;A expenses was primarily due to less favorable benefits related to acquisition-related contingent consideration and higher outside services and other general and administrative expenses, which was partially offset by lower bad debt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540" w:firstLine="477"/>
        <w:spacing w:after="0" w:line="259" w:lineRule="auto"/>
        <w:rPr>
          <w:sz w:val="20"/>
          <w:szCs w:val="20"/>
          <w:color w:val="auto"/>
        </w:rPr>
      </w:pPr>
      <w:r>
        <w:rPr>
          <w:rFonts w:ascii="Times New Roman" w:cs="Times New Roman" w:eastAsia="Times New Roman" w:hAnsi="Times New Roman"/>
          <w:sz w:val="18"/>
          <w:szCs w:val="18"/>
          <w:color w:val="auto"/>
        </w:rPr>
        <w:t>Revenues increased $8.9 million, or 1.2%, to $722.9 million for the six months ended June 30, 2025, primarily due to higher demand for our restructuring services, higher realized bill rates for our transaction services and higher success fees, which was partially offset by lower demand for our transformation &amp; strategy services.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28" w:name="page29"/>
    <w:bookmarkEnd w:id="28"/>
    <w:p>
      <w:pPr>
        <w:ind w:left="100" w:right="80" w:firstLine="477"/>
        <w:spacing w:after="0" w:line="259" w:lineRule="auto"/>
        <w:rPr>
          <w:sz w:val="20"/>
          <w:szCs w:val="20"/>
          <w:color w:val="auto"/>
        </w:rPr>
      </w:pPr>
      <w:r>
        <w:rPr>
          <w:rFonts w:ascii="Times New Roman" w:cs="Times New Roman" w:eastAsia="Times New Roman" w:hAnsi="Times New Roman"/>
          <w:sz w:val="18"/>
          <w:szCs w:val="18"/>
          <w:color w:val="auto"/>
        </w:rPr>
        <w:t>Gross profit increased $0.9 million, or 0.4%, to $245.2 million for the six months ended June 30, 2025. Gross profit margin decreased 0.3 percentage points for the six months ended June 30, 2025. The decrease in gross profit margin was primarily due to a 2 percentage point decline in utilization, which was partially offset by higher realized bill rates.</w:t>
      </w:r>
    </w:p>
    <w:p>
      <w:pPr>
        <w:spacing w:after="0" w:line="125" w:lineRule="exact"/>
        <w:rPr>
          <w:sz w:val="20"/>
          <w:szCs w:val="20"/>
          <w:color w:val="auto"/>
        </w:rPr>
      </w:pPr>
    </w:p>
    <w:p>
      <w:pPr>
        <w:ind w:left="100" w:right="120" w:firstLine="477"/>
        <w:spacing w:after="0" w:line="255" w:lineRule="auto"/>
        <w:rPr>
          <w:sz w:val="20"/>
          <w:szCs w:val="20"/>
          <w:color w:val="auto"/>
        </w:rPr>
      </w:pPr>
      <w:r>
        <w:rPr>
          <w:rFonts w:ascii="Times New Roman" w:cs="Times New Roman" w:eastAsia="Times New Roman" w:hAnsi="Times New Roman"/>
          <w:sz w:val="18"/>
          <w:szCs w:val="18"/>
          <w:color w:val="auto"/>
        </w:rPr>
        <w:t>SG&amp;A expenses increased $5.3 million, or 5.0%, to $112.9 million for the six months ended June 30, 2025. SG&amp;A expenses of 15.6% of revenues for the six months ended June 30, 2025 compared to 15.1% of revenues for the six months ended June 30, 2024. The increase in SG&amp;A expenses was primarily due to higher infrastructure support, outside services, business development and other general and administrative expenses, which was partially offset by lower bad debt expenses.</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FORENSIC AND LITIGATION CONSULTING</w:t>
      </w: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4"/>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r>
      <w:tr>
        <w:trPr>
          <w:trHeight w:val="191"/>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186,517</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169,496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377,119</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345,570</w:t>
            </w: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120,760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119,924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238,721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232,318</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36,458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73,289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67,805</w:t>
            </w: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380</w:t>
            </w:r>
          </w:p>
        </w:tc>
      </w:tr>
      <w:tr>
        <w:trPr>
          <w:trHeight w:val="219"/>
        </w:trPr>
        <w:tc>
          <w:tcPr>
            <w:tcW w:w="4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157,446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156,396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317,942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300,503</w:t>
            </w:r>
          </w:p>
        </w:tc>
      </w:tr>
      <w:tr>
        <w:trPr>
          <w:trHeight w:val="218"/>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29,071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59,177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45,067</w:t>
            </w:r>
          </w:p>
        </w:tc>
      </w:tr>
      <w:tr>
        <w:trPr>
          <w:trHeight w:val="172"/>
        </w:trPr>
        <w:tc>
          <w:tcPr>
            <w:tcW w:w="4980" w:type="dxa"/>
            <w:vAlign w:val="bottom"/>
          </w:tcPr>
          <w:p>
            <w:pPr>
              <w:ind w:left="620"/>
              <w:spacing w:after="0" w:line="172"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3,636</w:t>
            </w:r>
          </w:p>
        </w:tc>
      </w:tr>
      <w:tr>
        <w:trPr>
          <w:trHeight w:val="225"/>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68,711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48,703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65,757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49,572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138,398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113,252</w:t>
            </w:r>
          </w:p>
        </w:tc>
      </w:tr>
      <w:tr>
        <w:trPr>
          <w:trHeight w:val="225"/>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1,457</w:t>
            </w:r>
          </w:p>
        </w:tc>
      </w:tr>
      <w:tr>
        <w:trPr>
          <w:trHeight w:val="172"/>
        </w:trPr>
        <w:tc>
          <w:tcPr>
            <w:tcW w:w="498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206375</wp:posOffset>
            </wp:positionV>
            <wp:extent cx="1379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340"/>
          </w:cols>
          <w:pgMar w:left="220" w:top="87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54" w:lineRule="exact"/>
        <w:rPr>
          <w:sz w:val="20"/>
          <w:szCs w:val="20"/>
          <w:color w:val="auto"/>
        </w:rPr>
      </w:pPr>
    </w:p>
    <w:p>
      <w:pPr>
        <w:sectPr>
          <w:pgSz w:w="11900" w:h="16838" w:orient="portrait"/>
          <w:cols w:equalWidth="0" w:num="2">
            <w:col w:w="240" w:space="480"/>
            <w:col w:w="10620"/>
          </w:cols>
          <w:pgMar w:left="220" w:top="87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6" w:lineRule="exact"/>
        <w:rPr>
          <w:sz w:val="20"/>
          <w:szCs w:val="20"/>
          <w:color w:val="auto"/>
        </w:rPr>
      </w:pPr>
    </w:p>
    <w:p>
      <w:pPr>
        <w:ind w:left="100" w:right="120" w:firstLine="477"/>
        <w:spacing w:after="0" w:line="274" w:lineRule="auto"/>
        <w:rPr>
          <w:sz w:val="20"/>
          <w:szCs w:val="20"/>
          <w:color w:val="auto"/>
        </w:rPr>
      </w:pPr>
      <w:r>
        <w:rPr>
          <w:rFonts w:ascii="Times New Roman" w:cs="Times New Roman" w:eastAsia="Times New Roman" w:hAnsi="Times New Roman"/>
          <w:sz w:val="18"/>
          <w:szCs w:val="18"/>
          <w:color w:val="auto"/>
        </w:rPr>
        <w:t>Revenues increased $17.0 million, or 10.0%, to $186.5 million for the three months ended June 30, 2025, primarily due to higher realized bill rates for our risk and investigations, data &amp; analytics and construction solutions services.</w:t>
      </w:r>
    </w:p>
    <w:p>
      <w:pPr>
        <w:spacing w:after="0" w:line="110" w:lineRule="exact"/>
        <w:rPr>
          <w:sz w:val="20"/>
          <w:szCs w:val="20"/>
          <w:color w:val="auto"/>
        </w:rPr>
      </w:pPr>
    </w:p>
    <w:p>
      <w:pPr>
        <w:ind w:left="100" w:right="20" w:firstLine="477"/>
        <w:spacing w:after="0" w:line="274" w:lineRule="auto"/>
        <w:rPr>
          <w:sz w:val="20"/>
          <w:szCs w:val="20"/>
          <w:color w:val="auto"/>
        </w:rPr>
      </w:pPr>
      <w:r>
        <w:rPr>
          <w:rFonts w:ascii="Times New Roman" w:cs="Times New Roman" w:eastAsia="Times New Roman" w:hAnsi="Times New Roman"/>
          <w:sz w:val="18"/>
          <w:szCs w:val="18"/>
          <w:color w:val="auto"/>
        </w:rPr>
        <w:t>Gross profit increased $16.2 million, or 32.6%, to $65.8 million for the three months ended June 30, 2025. Gross profit margin increased 6.0 percentage points for the three months ended June 30, 2025. The increase in gross profit margin was primarily due to higher realized bill rates.</w:t>
      </w:r>
    </w:p>
    <w:p>
      <w:pPr>
        <w:spacing w:after="0" w:line="110" w:lineRule="exact"/>
        <w:rPr>
          <w:sz w:val="20"/>
          <w:szCs w:val="20"/>
          <w:color w:val="auto"/>
        </w:rPr>
      </w:pPr>
    </w:p>
    <w:p>
      <w:pPr>
        <w:ind w:left="100" w:right="120" w:firstLine="477"/>
        <w:spacing w:after="0" w:line="274" w:lineRule="auto"/>
        <w:rPr>
          <w:sz w:val="20"/>
          <w:szCs w:val="20"/>
          <w:color w:val="auto"/>
        </w:rPr>
      </w:pPr>
      <w:r>
        <w:rPr>
          <w:rFonts w:ascii="Times New Roman" w:cs="Times New Roman" w:eastAsia="Times New Roman" w:hAnsi="Times New Roman"/>
          <w:sz w:val="18"/>
          <w:szCs w:val="18"/>
          <w:color w:val="auto"/>
        </w:rPr>
        <w:t>SG&amp;A expenses increased $0.3 million, or 0.7%, to $36.5 million for the three months ended June 30, 2025. SG&amp;A expenses were 19.5% of revenues for the three months ended June 30, 2025 compared to 21.4% of revenues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87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80" w:firstLine="477"/>
        <w:spacing w:after="0" w:line="259" w:lineRule="auto"/>
        <w:rPr>
          <w:sz w:val="20"/>
          <w:szCs w:val="20"/>
          <w:color w:val="auto"/>
        </w:rPr>
      </w:pPr>
      <w:r>
        <w:rPr>
          <w:rFonts w:ascii="Times New Roman" w:cs="Times New Roman" w:eastAsia="Times New Roman" w:hAnsi="Times New Roman"/>
          <w:sz w:val="18"/>
          <w:szCs w:val="18"/>
          <w:color w:val="auto"/>
        </w:rPr>
        <w:t>Revenues increased $31.5 million, or 9.1%, to $377.1 million for the six months ended June 30, 2025, primarily due to higher realized bill rates for our risk and investigations, data &amp; analytics and healthcare risk management &amp; advisory services, as well as higher demand for our construction solutions services.</w:t>
      </w:r>
    </w:p>
    <w:p>
      <w:pPr>
        <w:spacing w:after="0" w:line="125" w:lineRule="exact"/>
        <w:rPr>
          <w:sz w:val="20"/>
          <w:szCs w:val="20"/>
          <w:color w:val="auto"/>
        </w:rPr>
      </w:pPr>
    </w:p>
    <w:p>
      <w:pPr>
        <w:ind w:right="80" w:firstLine="477"/>
        <w:spacing w:after="0" w:line="274" w:lineRule="auto"/>
        <w:rPr>
          <w:sz w:val="20"/>
          <w:szCs w:val="20"/>
          <w:color w:val="auto"/>
        </w:rPr>
      </w:pPr>
      <w:r>
        <w:rPr>
          <w:rFonts w:ascii="Times New Roman" w:cs="Times New Roman" w:eastAsia="Times New Roman" w:hAnsi="Times New Roman"/>
          <w:sz w:val="18"/>
          <w:szCs w:val="18"/>
          <w:color w:val="auto"/>
        </w:rPr>
        <w:t>Gross profit increased $25.1 million, or 22.2%, to $138.4 million for the six months ended June 30, 2025. Gross profit margin increased 3.9 percentage points for the six months ended June 30, 2025. The increase in gross profit margin was primarily due to higher realized bill rates.</w:t>
      </w:r>
    </w:p>
    <w:p>
      <w:pPr>
        <w:spacing w:after="0" w:line="110" w:lineRule="exact"/>
        <w:rPr>
          <w:sz w:val="20"/>
          <w:szCs w:val="20"/>
          <w:color w:val="auto"/>
        </w:rPr>
      </w:pPr>
    </w:p>
    <w:p>
      <w:pPr>
        <w:jc w:val="both"/>
        <w:ind w:right="200" w:firstLine="477"/>
        <w:spacing w:after="0" w:line="259" w:lineRule="auto"/>
        <w:rPr>
          <w:sz w:val="20"/>
          <w:szCs w:val="20"/>
          <w:color w:val="auto"/>
        </w:rPr>
      </w:pPr>
      <w:r>
        <w:rPr>
          <w:rFonts w:ascii="Times New Roman" w:cs="Times New Roman" w:eastAsia="Times New Roman" w:hAnsi="Times New Roman"/>
          <w:sz w:val="18"/>
          <w:szCs w:val="18"/>
          <w:color w:val="auto"/>
        </w:rPr>
        <w:t>SG&amp;A expenses increased $5.5 million, or 8.1%, to $73.3 million for the six months ended June 30, 2025. SG&amp;A expenses of 19.4% of revenues for the six months ended June 30, 2025 compared to 19.6% of revenues for the six months ended June 30, 2024. The increase in SG&amp;A expenses was primarily due to higher compensation, infrastructure support, computer hardware and software, and other general and administrative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CONSULTING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191,657</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230,873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371,518</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435,421</w:t>
            </w:r>
          </w:p>
        </w:tc>
        <w:tc>
          <w:tcPr>
            <w:tcW w:w="0" w:type="dxa"/>
            <w:vAlign w:val="bottom"/>
          </w:tcPr>
          <w:p>
            <w:pPr>
              <w:spacing w:after="0"/>
              <w:rPr>
                <w:sz w:val="1"/>
                <w:szCs w:val="1"/>
                <w:color w:val="auto"/>
              </w:rPr>
            </w:pPr>
          </w:p>
        </w:tc>
      </w:tr>
      <w:tr>
        <w:trPr>
          <w:trHeight w:val="218"/>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149,843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159,039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288,288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318,479</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29,007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57,351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61,125</w:t>
            </w:r>
          </w:p>
        </w:tc>
        <w:tc>
          <w:tcPr>
            <w:tcW w:w="0" w:type="dxa"/>
            <w:vAlign w:val="bottom"/>
          </w:tcPr>
          <w:p>
            <w:pPr>
              <w:spacing w:after="0"/>
              <w:rPr>
                <w:sz w:val="1"/>
                <w:szCs w:val="1"/>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9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178,850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187,921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346,622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379,604</w:t>
            </w:r>
          </w:p>
        </w:tc>
        <w:tc>
          <w:tcPr>
            <w:tcW w:w="0" w:type="dxa"/>
            <w:vAlign w:val="bottom"/>
          </w:tcPr>
          <w:p>
            <w:pPr>
              <w:spacing w:after="0"/>
              <w:rPr>
                <w:sz w:val="1"/>
                <w:szCs w:val="1"/>
                <w:color w:val="auto"/>
              </w:rPr>
            </w:pPr>
          </w:p>
        </w:tc>
      </w:tr>
      <w:tr>
        <w:trPr>
          <w:trHeight w:val="218"/>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42,952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24,896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55,817</w:t>
            </w:r>
          </w:p>
        </w:tc>
        <w:tc>
          <w:tcPr>
            <w:tcW w:w="0" w:type="dxa"/>
            <w:vAlign w:val="bottom"/>
          </w:tcPr>
          <w:p>
            <w:pPr>
              <w:spacing w:after="0"/>
              <w:rPr>
                <w:sz w:val="1"/>
                <w:szCs w:val="1"/>
                <w:color w:val="auto"/>
              </w:rPr>
            </w:pPr>
          </w:p>
        </w:tc>
      </w:tr>
      <w:tr>
        <w:trPr>
          <w:trHeight w:val="172"/>
        </w:trPr>
        <w:tc>
          <w:tcPr>
            <w:tcW w:w="4980" w:type="dxa"/>
            <w:vAlign w:val="bottom"/>
            <w:shd w:val="clear" w:color="auto" w:fill="CCEEFF"/>
          </w:tcPr>
          <w:p>
            <w:pPr>
              <w:ind w:left="620"/>
              <w:spacing w:after="0" w:line="172"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25"/>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58,446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80" w:type="dxa"/>
            <w:vAlign w:val="bottom"/>
            <w:vMerge w:val="continue"/>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line="198" w:lineRule="exact"/>
              <w:rPr>
                <w:sz w:val="20"/>
                <w:szCs w:val="20"/>
                <w:color w:val="auto"/>
              </w:rPr>
            </w:pPr>
            <w:r>
              <w:rPr>
                <w:rFonts w:ascii="Times New Roman" w:cs="Times New Roman" w:eastAsia="Times New Roman" w:hAnsi="Times New Roman"/>
                <w:sz w:val="18"/>
                <w:szCs w:val="18"/>
                <w:color w:val="auto"/>
              </w:rPr>
              <w:t>41,814</w:t>
            </w:r>
          </w:p>
        </w:tc>
        <w:tc>
          <w:tcPr>
            <w:tcW w:w="100" w:type="dxa"/>
            <w:vAlign w:val="bottom"/>
          </w:tcPr>
          <w:p>
            <w:pPr>
              <w:spacing w:after="0"/>
              <w:rPr>
                <w:sz w:val="17"/>
                <w:szCs w:val="17"/>
                <w:color w:val="auto"/>
              </w:rPr>
            </w:pPr>
          </w:p>
        </w:tc>
        <w:tc>
          <w:tcPr>
            <w:tcW w:w="600" w:type="dxa"/>
            <w:vAlign w:val="bottom"/>
          </w:tcPr>
          <w:p>
            <w:pPr>
              <w:jc w:val="right"/>
              <w:ind w:right="4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71,834</w:t>
            </w:r>
          </w:p>
        </w:tc>
        <w:tc>
          <w:tcPr>
            <w:tcW w:w="100" w:type="dxa"/>
            <w:vAlign w:val="bottom"/>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line="198" w:lineRule="exact"/>
              <w:rPr>
                <w:sz w:val="20"/>
                <w:szCs w:val="20"/>
                <w:color w:val="auto"/>
              </w:rPr>
            </w:pPr>
            <w:r>
              <w:rPr>
                <w:rFonts w:ascii="Times New Roman" w:cs="Times New Roman" w:eastAsia="Times New Roman" w:hAnsi="Times New Roman"/>
                <w:sz w:val="18"/>
                <w:szCs w:val="18"/>
                <w:color w:val="auto"/>
              </w:rPr>
              <w:t>83,230</w:t>
            </w:r>
          </w:p>
        </w:tc>
        <w:tc>
          <w:tcPr>
            <w:tcW w:w="100" w:type="dxa"/>
            <w:vAlign w:val="bottom"/>
          </w:tcPr>
          <w:p>
            <w:pPr>
              <w:spacing w:after="0"/>
              <w:rPr>
                <w:sz w:val="17"/>
                <w:szCs w:val="17"/>
                <w:color w:val="auto"/>
              </w:rPr>
            </w:pPr>
          </w:p>
        </w:tc>
        <w:tc>
          <w:tcPr>
            <w:tcW w:w="600" w:type="dxa"/>
            <w:vAlign w:val="bottom"/>
          </w:tcPr>
          <w:p>
            <w:pPr>
              <w:jc w:val="right"/>
              <w:ind w:right="4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116,942</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172"/>
        </w:trPr>
        <w:tc>
          <w:tcPr>
            <w:tcW w:w="498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54" w:lineRule="exact"/>
        <w:rPr>
          <w:sz w:val="20"/>
          <w:szCs w:val="20"/>
          <w:color w:val="auto"/>
        </w:rPr>
      </w:pPr>
    </w:p>
    <w:p>
      <w:pPr>
        <w:sectPr>
          <w:pgSz w:w="11900" w:h="16838" w:orient="portrait"/>
          <w:cols w:equalWidth="0" w:num="2">
            <w:col w:w="140" w:space="480"/>
            <w:col w:w="10620"/>
          </w:cols>
          <w:pgMar w:left="320" w:top="87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6" w:lineRule="exact"/>
        <w:rPr>
          <w:sz w:val="20"/>
          <w:szCs w:val="20"/>
          <w:color w:val="auto"/>
        </w:rPr>
      </w:pPr>
    </w:p>
    <w:p>
      <w:pPr>
        <w:ind w:right="160" w:firstLine="477"/>
        <w:spacing w:after="0" w:line="255" w:lineRule="auto"/>
        <w:rPr>
          <w:sz w:val="20"/>
          <w:szCs w:val="20"/>
          <w:color w:val="auto"/>
        </w:rPr>
      </w:pPr>
      <w:r>
        <w:rPr>
          <w:rFonts w:ascii="Times New Roman" w:cs="Times New Roman" w:eastAsia="Times New Roman" w:hAnsi="Times New Roman"/>
          <w:sz w:val="18"/>
          <w:szCs w:val="18"/>
          <w:color w:val="auto"/>
        </w:rPr>
        <w:t>Revenues decreased $39.2 million, or 17.0%, to $191.7 million for the three months ended June 30, 2025, which included a 2.0% estimated positive impact from FX. Excluding the estimated impact from FX, revenues decreased $43.8 million or 19.0%. The decrease in revenues was primarily due to lower demand for our M&amp;A-related antitrust and non-M&amp;A-related antitrust services, which was partially offset by higher realized bill rates for our M&amp;A-related antitrust services and higher demand for our financial economics services.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0" w:name="page31"/>
    <w:bookmarkEnd w:id="30"/>
    <w:p>
      <w:pPr>
        <w:ind w:right="600" w:firstLine="477"/>
        <w:spacing w:after="0" w:line="255" w:lineRule="auto"/>
        <w:rPr>
          <w:sz w:val="20"/>
          <w:szCs w:val="20"/>
          <w:color w:val="auto"/>
        </w:rPr>
      </w:pPr>
      <w:r>
        <w:rPr>
          <w:rFonts w:ascii="Times New Roman" w:cs="Times New Roman" w:eastAsia="Times New Roman" w:hAnsi="Times New Roman"/>
          <w:sz w:val="18"/>
          <w:szCs w:val="18"/>
          <w:color w:val="auto"/>
        </w:rPr>
        <w:t>Gross profit decreased $30.0 million, or 41.8%, to $41.8 million for the three months ended June 30, 2025. Gross profit margin decreased 9.3 percentage points for the three months ended June 30, 2025. The decrease in gross profit margin was primarily due to a 6 percentage point decline in utilization and higher forgivable loan amortization expenses, which was partially offset by higher realized bill rates and lower compensation expenses, primarily driven by a 7.9% decline in billable headcount.</w:t>
      </w:r>
    </w:p>
    <w:p>
      <w:pPr>
        <w:spacing w:after="0" w:line="127" w:lineRule="exact"/>
        <w:rPr>
          <w:sz w:val="20"/>
          <w:szCs w:val="20"/>
          <w:color w:val="auto"/>
        </w:rPr>
      </w:pPr>
    </w:p>
    <w:p>
      <w:pPr>
        <w:ind w:right="60" w:firstLine="477"/>
        <w:spacing w:after="0" w:line="259" w:lineRule="auto"/>
        <w:rPr>
          <w:sz w:val="20"/>
          <w:szCs w:val="20"/>
          <w:color w:val="auto"/>
        </w:rPr>
      </w:pPr>
      <w:r>
        <w:rPr>
          <w:rFonts w:ascii="Times New Roman" w:cs="Times New Roman" w:eastAsia="Times New Roman" w:hAnsi="Times New Roman"/>
          <w:sz w:val="18"/>
          <w:szCs w:val="18"/>
          <w:color w:val="auto"/>
        </w:rPr>
        <w:t>SG&amp;A expenses increased $0.1 million, or 0.4%, to $29.0 million for the three months ended June 30, 2025, which included a 2.5% estimated negative impact from FX. SG&amp;A expenses were 15.1% of revenues for the three months ended June 30, 2025 compared to 12.5% of revenues for the three months ended June 30,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500" w:firstLine="636"/>
        <w:spacing w:after="0" w:line="274" w:lineRule="auto"/>
        <w:rPr>
          <w:sz w:val="20"/>
          <w:szCs w:val="20"/>
          <w:color w:val="auto"/>
        </w:rPr>
      </w:pPr>
      <w:r>
        <w:rPr>
          <w:rFonts w:ascii="Times New Roman" w:cs="Times New Roman" w:eastAsia="Times New Roman" w:hAnsi="Times New Roman"/>
          <w:sz w:val="18"/>
          <w:szCs w:val="18"/>
          <w:color w:val="auto"/>
        </w:rPr>
        <w:t>Revenues decreased $63.9 million, or 14.7%, to $371.5 million for the six months ended June 30, 2025, primarily due to lower demand for our M&amp;A-related antitrust and non-M&amp;A-related antitrust services, which was partially offset by higher realized bill rates.</w:t>
      </w:r>
    </w:p>
    <w:p>
      <w:pPr>
        <w:spacing w:after="0" w:line="110" w:lineRule="exact"/>
        <w:rPr>
          <w:sz w:val="20"/>
          <w:szCs w:val="20"/>
          <w:color w:val="auto"/>
        </w:rPr>
      </w:pPr>
    </w:p>
    <w:p>
      <w:pPr>
        <w:jc w:val="both"/>
        <w:ind w:right="40" w:firstLine="477"/>
        <w:spacing w:after="0" w:line="282" w:lineRule="auto"/>
        <w:rPr>
          <w:sz w:val="20"/>
          <w:szCs w:val="20"/>
          <w:color w:val="auto"/>
        </w:rPr>
      </w:pPr>
      <w:r>
        <w:rPr>
          <w:rFonts w:ascii="Times New Roman" w:cs="Times New Roman" w:eastAsia="Times New Roman" w:hAnsi="Times New Roman"/>
          <w:sz w:val="17"/>
          <w:szCs w:val="17"/>
          <w:color w:val="auto"/>
        </w:rPr>
        <w:t>Gross profit decreased $33.7 million, or 28.8%, to $83.2 million for the six months ended June 30, 2025. Gross profit margin decreased 4.5 percentage points for the six months ended June 30, 2025. The decrease in gross profit margin was primarily due to a 6 percentage point decrease in utilization and higher forgivable loan amortization expenses, which was partially offset by higher realized bill rates and lower variable compensation and salary expenses.</w:t>
      </w:r>
    </w:p>
    <w:p>
      <w:pPr>
        <w:spacing w:after="0" w:line="106" w:lineRule="exact"/>
        <w:rPr>
          <w:sz w:val="20"/>
          <w:szCs w:val="20"/>
          <w:color w:val="auto"/>
        </w:rPr>
      </w:pPr>
    </w:p>
    <w:p>
      <w:pPr>
        <w:jc w:val="both"/>
        <w:ind w:right="160" w:firstLine="477"/>
        <w:spacing w:after="0" w:line="259" w:lineRule="auto"/>
        <w:rPr>
          <w:sz w:val="20"/>
          <w:szCs w:val="20"/>
          <w:color w:val="auto"/>
        </w:rPr>
      </w:pPr>
      <w:r>
        <w:rPr>
          <w:rFonts w:ascii="Times New Roman" w:cs="Times New Roman" w:eastAsia="Times New Roman" w:hAnsi="Times New Roman"/>
          <w:sz w:val="18"/>
          <w:szCs w:val="18"/>
          <w:color w:val="auto"/>
        </w:rPr>
        <w:t>SG&amp;A expenses decreased $3.8 million, or 6.2%, to $57.4 million for the six months ended June 30, 2025. SG&amp;A expenses of 15.4% of revenues for the six months ended June 30, 2025 compared to 14.0% of revenues for the six months ended June 30, 2024. The decrease in SG&amp;A expenses was primarily driven by lower bad debt expenses, which was partially offset by higher outside services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262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83,599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115,875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180,755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216,588</w:t>
            </w:r>
          </w:p>
        </w:tc>
        <w:tc>
          <w:tcPr>
            <w:tcW w:w="0" w:type="dxa"/>
            <w:vAlign w:val="bottom"/>
          </w:tcPr>
          <w:p>
            <w:pPr>
              <w:spacing w:after="0"/>
              <w:rPr>
                <w:sz w:val="1"/>
                <w:szCs w:val="1"/>
                <w:color w:val="auto"/>
              </w:rPr>
            </w:pPr>
          </w:p>
        </w:tc>
      </w:tr>
      <w:tr>
        <w:trPr>
          <w:trHeight w:val="21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72,450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123,122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136,519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51,993</w:t>
            </w: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82,039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98,738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172,601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188,512</w:t>
            </w:r>
          </w:p>
        </w:tc>
        <w:tc>
          <w:tcPr>
            <w:tcW w:w="0" w:type="dxa"/>
            <w:vAlign w:val="bottom"/>
          </w:tcPr>
          <w:p>
            <w:pPr>
              <w:spacing w:after="0"/>
              <w:rPr>
                <w:sz w:val="1"/>
                <w:szCs w:val="1"/>
                <w:color w:val="auto"/>
              </w:rPr>
            </w:pPr>
          </w:p>
        </w:tc>
      </w:tr>
      <w:tr>
        <w:trPr>
          <w:trHeight w:val="218"/>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28,076</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620"/>
              <w:spacing w:after="0" w:line="172"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5"/>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7,435</w:t>
            </w:r>
          </w:p>
        </w:tc>
        <w:tc>
          <w:tcPr>
            <w:tcW w:w="0" w:type="dxa"/>
            <w:vAlign w:val="bottom"/>
          </w:tcPr>
          <w:p>
            <w:pPr>
              <w:spacing w:after="0"/>
              <w:rPr>
                <w:sz w:val="1"/>
                <w:szCs w:val="1"/>
                <w:color w:val="auto"/>
              </w:rPr>
            </w:pPr>
          </w:p>
        </w:tc>
      </w:tr>
      <w:tr>
        <w:trPr>
          <w:trHeight w:val="225"/>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1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20,930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16,876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35,511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vMerge w:val="continue"/>
          </w:tcPr>
          <w:p>
            <w:pPr>
              <w:spacing w:after="0"/>
              <w:rPr>
                <w:sz w:val="17"/>
                <w:szCs w:val="17"/>
                <w:color w:val="auto"/>
              </w:rPr>
            </w:pPr>
          </w:p>
        </w:tc>
        <w:tc>
          <w:tcPr>
            <w:tcW w:w="36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24,735</w:t>
            </w:r>
          </w:p>
        </w:tc>
        <w:tc>
          <w:tcPr>
            <w:tcW w:w="12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3"/>
              <w:spacing w:after="0" w:line="198" w:lineRule="exact"/>
              <w:rPr>
                <w:sz w:val="20"/>
                <w:szCs w:val="20"/>
                <w:color w:val="auto"/>
              </w:rPr>
            </w:pPr>
            <w:r>
              <w:rPr>
                <w:rFonts w:ascii="Times New Roman" w:cs="Times New Roman" w:eastAsia="Times New Roman" w:hAnsi="Times New Roman"/>
                <w:sz w:val="18"/>
                <w:szCs w:val="18"/>
                <w:color w:val="auto"/>
              </w:rPr>
              <w:t>43,425</w:t>
            </w:r>
          </w:p>
        </w:tc>
        <w:tc>
          <w:tcPr>
            <w:tcW w:w="12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57,633</w:t>
            </w:r>
          </w:p>
        </w:tc>
        <w:tc>
          <w:tcPr>
            <w:tcW w:w="12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80,069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billable professionals (at period end) </w:t>
            </w:r>
            <w:r>
              <w:rPr>
                <w:rFonts w:ascii="Times New Roman" w:cs="Times New Roman" w:eastAsia="Times New Roman" w:hAnsi="Times New Roman"/>
                <w:sz w:val="10"/>
                <w:szCs w:val="10"/>
                <w:color w:val="auto"/>
              </w:rPr>
              <w:t>(3)</w:t>
            </w:r>
          </w:p>
        </w:tc>
        <w:tc>
          <w:tcPr>
            <w:tcW w:w="36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37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200" w:lineRule="exact"/>
        <w:rPr>
          <w:sz w:val="20"/>
          <w:szCs w:val="20"/>
          <w:color w:val="auto"/>
        </w:rPr>
      </w:pPr>
    </w:p>
    <w:p>
      <w:pPr>
        <w:sectPr>
          <w:pgSz w:w="11900" w:h="16838" w:orient="portrait"/>
          <w:cols w:equalWidth="0" w:num="2">
            <w:col w:w="140" w:space="480"/>
            <w:col w:w="10620"/>
          </w:cols>
          <w:pgMar w:left="320" w:top="876"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31" w:name="page32"/>
    <w:bookmarkEnd w:id="31"/>
    <w:p>
      <w:pPr>
        <w:ind w:left="620" w:hanging="614"/>
        <w:spacing w:after="0"/>
        <w:tabs>
          <w:tab w:leader="none" w:pos="6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personnel involved in direct client assistance and billable consultants and excludes professionals employed on an as-needed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6" w:lineRule="exact"/>
        <w:rPr>
          <w:sz w:val="20"/>
          <w:szCs w:val="20"/>
          <w:color w:val="auto"/>
        </w:rPr>
      </w:pPr>
    </w:p>
    <w:p>
      <w:pPr>
        <w:ind w:firstLine="477"/>
        <w:spacing w:after="0" w:line="259" w:lineRule="auto"/>
        <w:rPr>
          <w:sz w:val="20"/>
          <w:szCs w:val="20"/>
          <w:color w:val="auto"/>
        </w:rPr>
      </w:pPr>
      <w:r>
        <w:rPr>
          <w:rFonts w:ascii="Times New Roman" w:cs="Times New Roman" w:eastAsia="Times New Roman" w:hAnsi="Times New Roman"/>
          <w:sz w:val="18"/>
          <w:szCs w:val="18"/>
          <w:color w:val="auto"/>
        </w:rPr>
        <w:t>Revenues decreased $32.3 million, or 27.9%, to $83.6 million for the three months ended June 30, 2025, which included a 1.1% estimated positive impact from FX. Excluding the estimated impact from FX, revenues decreased $33.5 million or 28.9%. The decrease in revenues was due to lower demand for our M&amp;A-related “second request” services.</w:t>
      </w:r>
    </w:p>
    <w:p>
      <w:pPr>
        <w:spacing w:after="0" w:line="125" w:lineRule="exact"/>
        <w:rPr>
          <w:sz w:val="20"/>
          <w:szCs w:val="20"/>
          <w:color w:val="auto"/>
        </w:rPr>
      </w:pPr>
    </w:p>
    <w:p>
      <w:pPr>
        <w:ind w:right="220" w:firstLine="477"/>
        <w:spacing w:after="0" w:line="259" w:lineRule="auto"/>
        <w:rPr>
          <w:sz w:val="20"/>
          <w:szCs w:val="20"/>
          <w:color w:val="auto"/>
        </w:rPr>
      </w:pPr>
      <w:r>
        <w:rPr>
          <w:rFonts w:ascii="Times New Roman" w:cs="Times New Roman" w:eastAsia="Times New Roman" w:hAnsi="Times New Roman"/>
          <w:sz w:val="18"/>
          <w:szCs w:val="18"/>
          <w:color w:val="auto"/>
        </w:rPr>
        <w:t>Gross profit decreased $18.7 million, or 43.0%, to $24.7 million for the three months ended June 30, 2025. Gross profit margin decreased 7.9 percentage points for the three months ended June 30, 2025. The decrease in gross profit margin was primarily due to lower profitability for our processing, managed review and consulting services, primarily resulting from the decline in revenues from our M&amp;A-related “second request” services.</w:t>
      </w:r>
    </w:p>
    <w:p>
      <w:pPr>
        <w:spacing w:after="0" w:line="125" w:lineRule="exact"/>
        <w:rPr>
          <w:sz w:val="20"/>
          <w:szCs w:val="20"/>
          <w:color w:val="auto"/>
        </w:rPr>
      </w:pPr>
    </w:p>
    <w:p>
      <w:pPr>
        <w:ind w:right="480" w:firstLine="477"/>
        <w:spacing w:after="0" w:line="255" w:lineRule="auto"/>
        <w:rPr>
          <w:sz w:val="20"/>
          <w:szCs w:val="20"/>
          <w:color w:val="auto"/>
        </w:rPr>
      </w:pPr>
      <w:r>
        <w:rPr>
          <w:rFonts w:ascii="Times New Roman" w:cs="Times New Roman" w:eastAsia="Times New Roman" w:hAnsi="Times New Roman"/>
          <w:sz w:val="18"/>
          <w:szCs w:val="18"/>
          <w:color w:val="auto"/>
        </w:rPr>
        <w:t>SG&amp;A expenses decreased $3.1 million, or 11.8%, to $23.2 million for the three months ended June 30, 2025, which included a 1.1% estimated negative impact from FX. SG&amp;A expenses of 27.7% of revenues for the three months ended June 30, 2025 compared to 22.7% of revenues for the three months ended June 30, 2024. The decrease in SG&amp;A expenses was primarily due to lower compensation, travel and entertainment, and outside services expenses, which was partially offset by higher bad debt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360" w:firstLine="477"/>
        <w:spacing w:after="0" w:line="274" w:lineRule="auto"/>
        <w:rPr>
          <w:sz w:val="20"/>
          <w:szCs w:val="20"/>
          <w:color w:val="auto"/>
        </w:rPr>
      </w:pPr>
      <w:r>
        <w:rPr>
          <w:rFonts w:ascii="Times New Roman" w:cs="Times New Roman" w:eastAsia="Times New Roman" w:hAnsi="Times New Roman"/>
          <w:sz w:val="18"/>
          <w:szCs w:val="18"/>
          <w:color w:val="auto"/>
        </w:rPr>
        <w:t>Revenues decreased $35.8 million, or 16.5%, to $180.8 million for the six months ended June 30, 2025, due to lower demand for our M&amp;A-related “second request” services.</w:t>
      </w:r>
    </w:p>
    <w:p>
      <w:pPr>
        <w:spacing w:after="0" w:line="110" w:lineRule="exact"/>
        <w:rPr>
          <w:sz w:val="20"/>
          <w:szCs w:val="20"/>
          <w:color w:val="auto"/>
        </w:rPr>
      </w:pPr>
    </w:p>
    <w:p>
      <w:pPr>
        <w:ind w:right="380" w:firstLine="477"/>
        <w:spacing w:after="0" w:line="282" w:lineRule="auto"/>
        <w:rPr>
          <w:sz w:val="20"/>
          <w:szCs w:val="20"/>
          <w:color w:val="auto"/>
        </w:rPr>
      </w:pPr>
      <w:r>
        <w:rPr>
          <w:rFonts w:ascii="Times New Roman" w:cs="Times New Roman" w:eastAsia="Times New Roman" w:hAnsi="Times New Roman"/>
          <w:sz w:val="17"/>
          <w:szCs w:val="17"/>
          <w:color w:val="auto"/>
        </w:rPr>
        <w:t>Gross profit decreased $22.4 million, or 28.0%, to $57.6 million for the six months ended June 30, 2025. Gross profit margin decreased by 5.1 percentage points for the six months ended June 30, 2025. The decrease in gross profit margin was primarily due to lower profitability for our processing, managed review and consulting services, primarily resulting from the decline in revenues from our M&amp;A-related “second request” services.</w:t>
      </w:r>
    </w:p>
    <w:p>
      <w:pPr>
        <w:spacing w:after="0" w:line="106" w:lineRule="exact"/>
        <w:rPr>
          <w:sz w:val="20"/>
          <w:szCs w:val="20"/>
          <w:color w:val="auto"/>
        </w:rPr>
      </w:pPr>
    </w:p>
    <w:p>
      <w:pPr>
        <w:jc w:val="both"/>
        <w:ind w:right="160" w:firstLine="477"/>
        <w:spacing w:after="0" w:line="259" w:lineRule="auto"/>
        <w:rPr>
          <w:sz w:val="20"/>
          <w:szCs w:val="20"/>
          <w:color w:val="auto"/>
        </w:rPr>
      </w:pPr>
      <w:r>
        <w:rPr>
          <w:rFonts w:ascii="Times New Roman" w:cs="Times New Roman" w:eastAsia="Times New Roman" w:hAnsi="Times New Roman"/>
          <w:sz w:val="18"/>
          <w:szCs w:val="18"/>
          <w:color w:val="auto"/>
        </w:rPr>
        <w:t>SG&amp;A expenses decreased $4.4 million, or 8.5%, to $47.6 million for the six months ended June 30, 2025. SG&amp;A expenses of 26.3% of revenues for the six months ended June 30, 2025 compared to 24.0% of revenues for the six months ended June 30, 2024. The decrease in SG&amp;A expenses was primarily due to lower compensation and travel and entertainment expenses.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STRATEGIC COMMUNICATIONS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14"/>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8"/>
                <w:szCs w:val="18"/>
                <w:color w:val="auto"/>
              </w:rPr>
            </w:pPr>
          </w:p>
        </w:tc>
      </w:tr>
      <w:tr>
        <w:trPr>
          <w:trHeight w:val="2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102,650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84,941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189,668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166,149</w:t>
            </w:r>
          </w:p>
        </w:tc>
      </w:tr>
      <w:tr>
        <w:trPr>
          <w:trHeight w:val="218"/>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65,523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54,767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122,215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106,708</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37,848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37,204</w:t>
            </w:r>
          </w:p>
        </w:tc>
      </w:tr>
      <w:tr>
        <w:trPr>
          <w:trHeight w:val="225"/>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r>
      <w:tr>
        <w:trPr>
          <w:trHeight w:val="218"/>
        </w:trPr>
        <w:tc>
          <w:tcPr>
            <w:tcW w:w="4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85,176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74,347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163,469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144,081</w:t>
            </w:r>
          </w:p>
        </w:tc>
      </w:tr>
      <w:tr>
        <w:trPr>
          <w:trHeight w:val="218"/>
        </w:trPr>
        <w:tc>
          <w:tcPr>
            <w:tcW w:w="4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22,068</w:t>
            </w:r>
          </w:p>
        </w:tc>
      </w:tr>
      <w:tr>
        <w:trPr>
          <w:trHeight w:val="172"/>
        </w:trPr>
        <w:tc>
          <w:tcPr>
            <w:tcW w:w="4980" w:type="dxa"/>
            <w:vAlign w:val="bottom"/>
          </w:tcPr>
          <w:p>
            <w:pPr>
              <w:ind w:left="620"/>
              <w:spacing w:after="0" w:line="172" w:lineRule="exact"/>
              <w:rPr>
                <w:sz w:val="20"/>
                <w:szCs w:val="20"/>
                <w:color w:val="auto"/>
              </w:rPr>
            </w:pPr>
            <w:r>
              <w:rPr>
                <w:rFonts w:ascii="Times New Roman" w:cs="Times New Roman" w:eastAsia="Times New Roman" w:hAnsi="Times New Roman"/>
                <w:sz w:val="18"/>
                <w:szCs w:val="18"/>
                <w:color w:val="auto"/>
              </w:rPr>
              <w:t>Percentage change in segment operating income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9"/>
        </w:trPr>
        <w:tc>
          <w:tcPr>
            <w:tcW w:w="4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25"/>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1,969</w:t>
            </w:r>
          </w:p>
        </w:tc>
      </w:tr>
      <w:tr>
        <w:trPr>
          <w:trHeight w:val="225"/>
        </w:trPr>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18,481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31,384</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24,037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37,127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67,453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59,441</w:t>
            </w:r>
          </w:p>
        </w:tc>
      </w:tr>
      <w:tr>
        <w:trPr>
          <w:trHeight w:val="225"/>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972</w:t>
            </w:r>
          </w:p>
        </w:tc>
      </w:tr>
      <w:tr>
        <w:trPr>
          <w:trHeight w:val="172"/>
        </w:trPr>
        <w:tc>
          <w:tcPr>
            <w:tcW w:w="498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Percentage change in number of billable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0"/>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professionals from prior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1379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54" w:lineRule="exact"/>
        <w:rPr>
          <w:sz w:val="20"/>
          <w:szCs w:val="20"/>
          <w:color w:val="auto"/>
        </w:rPr>
      </w:pPr>
    </w:p>
    <w:p>
      <w:pPr>
        <w:sectPr>
          <w:pgSz w:w="11900" w:h="16838" w:orient="portrait"/>
          <w:cols w:equalWidth="0" w:num="2">
            <w:col w:w="140" w:space="480"/>
            <w:col w:w="10620"/>
          </w:cols>
          <w:pgMar w:left="320" w:top="87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166" w:lineRule="exact"/>
        <w:rPr>
          <w:sz w:val="20"/>
          <w:szCs w:val="20"/>
          <w:color w:val="auto"/>
        </w:rPr>
      </w:pPr>
    </w:p>
    <w:p>
      <w:pPr>
        <w:jc w:val="both"/>
        <w:ind w:right="320" w:firstLine="477"/>
        <w:spacing w:after="0" w:line="259" w:lineRule="auto"/>
        <w:rPr>
          <w:sz w:val="20"/>
          <w:szCs w:val="20"/>
          <w:color w:val="auto"/>
        </w:rPr>
      </w:pPr>
      <w:r>
        <w:rPr>
          <w:rFonts w:ascii="Times New Roman" w:cs="Times New Roman" w:eastAsia="Times New Roman" w:hAnsi="Times New Roman"/>
          <w:sz w:val="18"/>
          <w:szCs w:val="18"/>
          <w:color w:val="auto"/>
        </w:rPr>
        <w:t>Revenues increased $17.7 million, or 20.8%, to $102.7 million for the three months ended June 30, 2025, which included a 2.2% estimated positive impact from FX. Excluding the estimated impact from FX, revenues increased $15.8 million, or 18.6%, primarily due to an $8.4 million increase in pass-through revenues and higher demand for our corporate reputation and financial communications services.</w:t>
      </w:r>
    </w:p>
    <w:p>
      <w:pPr>
        <w:spacing w:after="0" w:line="125" w:lineRule="exact"/>
        <w:rPr>
          <w:sz w:val="20"/>
          <w:szCs w:val="20"/>
          <w:color w:val="auto"/>
        </w:rPr>
      </w:pPr>
    </w:p>
    <w:p>
      <w:pPr>
        <w:ind w:right="100" w:firstLine="477"/>
        <w:spacing w:after="0" w:line="259" w:lineRule="auto"/>
        <w:rPr>
          <w:sz w:val="20"/>
          <w:szCs w:val="20"/>
          <w:color w:val="auto"/>
        </w:rPr>
      </w:pPr>
      <w:r>
        <w:rPr>
          <w:rFonts w:ascii="Times New Roman" w:cs="Times New Roman" w:eastAsia="Times New Roman" w:hAnsi="Times New Roman"/>
          <w:sz w:val="18"/>
          <w:szCs w:val="18"/>
          <w:color w:val="auto"/>
        </w:rPr>
        <w:t>Gross profit increased $7.0 million, or 23.0%, to $37.1 million for the three months ended June 30, 2025. Gross profit margin increased 0.6 percentage points for the three months ended June 30, 2025. The increase in gross profit margin was primarily due to lower compensation expenses as a percentage of revenues, which was partially offset by higher pass-through revenues and expenses.</w:t>
      </w:r>
    </w:p>
    <w:p>
      <w:pPr>
        <w:spacing w:after="0" w:line="125" w:lineRule="exact"/>
        <w:rPr>
          <w:sz w:val="20"/>
          <w:szCs w:val="20"/>
          <w:color w:val="auto"/>
        </w:rPr>
      </w:pPr>
    </w:p>
    <w:p>
      <w:pPr>
        <w:jc w:val="both"/>
        <w:ind w:right="60" w:firstLine="477"/>
        <w:spacing w:after="0" w:line="259" w:lineRule="auto"/>
        <w:rPr>
          <w:sz w:val="20"/>
          <w:szCs w:val="20"/>
          <w:color w:val="auto"/>
        </w:rPr>
      </w:pPr>
      <w:r>
        <w:rPr>
          <w:rFonts w:ascii="Times New Roman" w:cs="Times New Roman" w:eastAsia="Times New Roman" w:hAnsi="Times New Roman"/>
          <w:sz w:val="18"/>
          <w:szCs w:val="18"/>
          <w:color w:val="auto"/>
        </w:rPr>
        <w:t>SG&amp;A expenses increased $0.1 million, or 0.5%, to $19.6 million for the three months ended June 30, 2025, which included a 2.4% estimated negative impact from FX. SG&amp;A expenses of 19.1% of revenues for the three months ended June 30, 2025 compared to 22.9% of revenues for the three months ended June 30,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340" w:firstLine="477"/>
        <w:spacing w:after="0" w:line="274" w:lineRule="auto"/>
        <w:rPr>
          <w:sz w:val="20"/>
          <w:szCs w:val="20"/>
          <w:color w:val="auto"/>
        </w:rPr>
      </w:pPr>
      <w:r>
        <w:rPr>
          <w:rFonts w:ascii="Times New Roman" w:cs="Times New Roman" w:eastAsia="Times New Roman" w:hAnsi="Times New Roman"/>
          <w:sz w:val="18"/>
          <w:szCs w:val="18"/>
          <w:color w:val="auto"/>
        </w:rPr>
        <w:t>Revenues increased $23.5 million, or 14.2%, to $189.7 million for the six months ended June 30, 2025, primarily due to a $12.0 million increase in pass-through revenues and higher demand for our corporate reputation and financial communications services.</w:t>
      </w:r>
    </w:p>
    <w:p>
      <w:pPr>
        <w:spacing w:after="0" w:line="110" w:lineRule="exact"/>
        <w:rPr>
          <w:sz w:val="20"/>
          <w:szCs w:val="20"/>
          <w:color w:val="auto"/>
        </w:rPr>
      </w:pPr>
    </w:p>
    <w:p>
      <w:pPr>
        <w:ind w:right="220" w:firstLine="477"/>
        <w:spacing w:after="0" w:line="274" w:lineRule="auto"/>
        <w:rPr>
          <w:sz w:val="20"/>
          <w:szCs w:val="20"/>
          <w:color w:val="auto"/>
        </w:rPr>
      </w:pPr>
      <w:r>
        <w:rPr>
          <w:rFonts w:ascii="Times New Roman" w:cs="Times New Roman" w:eastAsia="Times New Roman" w:hAnsi="Times New Roman"/>
          <w:sz w:val="18"/>
          <w:szCs w:val="18"/>
          <w:color w:val="auto"/>
        </w:rPr>
        <w:t>Gross profit increased $8.0 million, or 13.5%, to $67.5 million for the six months ended June 30, 2025. Gross profit margin decreased 0.2 percentage points for the six months ended June 30, 2025. The decrease in gross profit margin was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primarily due to higher pass-through revenues and expenses, which was partially offset by lower compensation expenses as a percentage of revenues.</w:t>
      </w:r>
    </w:p>
    <w:p>
      <w:pPr>
        <w:spacing w:after="0" w:line="164" w:lineRule="exact"/>
        <w:rPr>
          <w:sz w:val="20"/>
          <w:szCs w:val="20"/>
          <w:color w:val="auto"/>
        </w:rPr>
      </w:pPr>
    </w:p>
    <w:p>
      <w:pPr>
        <w:jc w:val="both"/>
        <w:ind w:right="180" w:firstLine="477"/>
        <w:spacing w:after="0" w:line="259" w:lineRule="auto"/>
        <w:rPr>
          <w:sz w:val="20"/>
          <w:szCs w:val="20"/>
          <w:color w:val="auto"/>
        </w:rPr>
      </w:pPr>
      <w:r>
        <w:rPr>
          <w:rFonts w:ascii="Times New Roman" w:cs="Times New Roman" w:eastAsia="Times New Roman" w:hAnsi="Times New Roman"/>
          <w:sz w:val="18"/>
          <w:szCs w:val="18"/>
          <w:color w:val="auto"/>
        </w:rPr>
        <w:t>SG&amp;A expenses increased $0.6 million, or 1.7%, to $37.8 million for the six months ended June 30, 2025. SG&amp;A expenses of 20.0% of revenues for the six months ended June 30, 2025 compared to 22.4% of revenues for the six months ended June 30, 2024. The increase in SG&amp;A expenses was primarily due to higher compensation and bad debt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6" w:lineRule="exact"/>
        <w:rPr>
          <w:sz w:val="20"/>
          <w:szCs w:val="20"/>
          <w:color w:val="auto"/>
        </w:rPr>
      </w:pPr>
    </w:p>
    <w:p>
      <w:pPr>
        <w:ind w:firstLine="477"/>
        <w:spacing w:after="0" w:line="24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Note 1 to the Consolidated Financial Statements included in Part II, Item 8, of our Annual Report on Form 10-K for the year ended December 31, 2024 describes the significant accounting policies and methods used in preparation of the Condensed Consolidated Financial Statements in this Quarterly Report on Form 10-Q. 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 The accounting estimates that reflect our more significant judgments, and which we believe are the most critical to aid in fully understanding and evaluating our reported financial results, include the following:</w:t>
      </w:r>
    </w:p>
    <w:p>
      <w:pPr>
        <w:spacing w:after="0" w:line="140" w:lineRule="exact"/>
        <w:rPr>
          <w:sz w:val="20"/>
          <w:szCs w:val="20"/>
          <w:color w:val="auto"/>
        </w:rPr>
      </w:pPr>
    </w:p>
    <w:p>
      <w:pPr>
        <w:ind w:left="720" w:hanging="23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164" w:lineRule="exact"/>
        <w:rPr>
          <w:sz w:val="20"/>
          <w:szCs w:val="20"/>
          <w:color w:val="auto"/>
        </w:rPr>
      </w:pPr>
    </w:p>
    <w:p>
      <w:pPr>
        <w:ind w:right="100" w:firstLine="477"/>
        <w:spacing w:after="0" w:line="282" w:lineRule="auto"/>
        <w:rPr>
          <w:sz w:val="20"/>
          <w:szCs w:val="20"/>
          <w:color w:val="auto"/>
        </w:rPr>
      </w:pPr>
      <w:r>
        <w:rPr>
          <w:rFonts w:ascii="Times New Roman" w:cs="Times New Roman" w:eastAsia="Times New Roman" w:hAnsi="Times New Roman"/>
          <w:sz w:val="17"/>
          <w:szCs w:val="17"/>
          <w:color w:val="auto"/>
        </w:rPr>
        <w:t>There were no material changes to our critical accounting estimates from the information provided in “Critical Accounting Estimates” in the Management’s Discussion and Analysis of Financial Condition and Results of Operations, in Part II, Item 7, of our Annual Report on Form 10-K for the year ended December 31, 2024, or from the information provided in Part II, Item 8, of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NEW ACCOUNTING PRONOUNCEMENTS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2, “New Accounting Standards” in Part I, Item 1,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ind w:right="160" w:firstLine="477"/>
        <w:spacing w:after="0" w:line="255" w:lineRule="auto"/>
        <w:rPr>
          <w:sz w:val="20"/>
          <w:szCs w:val="20"/>
          <w:color w:val="auto"/>
        </w:rPr>
      </w:pPr>
      <w:r>
        <w:rPr>
          <w:rFonts w:ascii="Times New Roman" w:cs="Times New Roman" w:eastAsia="Times New Roman" w:hAnsi="Times New Roman"/>
          <w:sz w:val="18"/>
          <w:szCs w:val="18"/>
          <w:color w:val="auto"/>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Credit Facility, as necessary, will provide adequate cash to fund our cash needs for at least the next 12 months.</w:t>
      </w:r>
    </w:p>
    <w:p>
      <w:pPr>
        <w:spacing w:after="0" w:line="127" w:lineRule="exact"/>
        <w:rPr>
          <w:sz w:val="20"/>
          <w:szCs w:val="20"/>
          <w:color w:val="auto"/>
        </w:rPr>
      </w:pPr>
    </w:p>
    <w:p>
      <w:pPr>
        <w:jc w:val="both"/>
        <w:ind w:right="220" w:firstLine="477"/>
        <w:spacing w:after="0" w:line="259" w:lineRule="auto"/>
        <w:rPr>
          <w:sz w:val="20"/>
          <w:szCs w:val="20"/>
          <w:color w:val="auto"/>
        </w:rPr>
      </w:pPr>
      <w:r>
        <w:rPr>
          <w:rFonts w:ascii="Times New Roman" w:cs="Times New Roman" w:eastAsia="Times New Roman" w:hAnsi="Times New Roman"/>
          <w:sz w:val="18"/>
          <w:szCs w:val="18"/>
          <w:color w:val="auto"/>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spacing w:after="0" w:line="125" w:lineRule="exact"/>
        <w:rPr>
          <w:sz w:val="20"/>
          <w:szCs w:val="20"/>
          <w:color w:val="auto"/>
        </w:rPr>
      </w:pPr>
    </w:p>
    <w:p>
      <w:pPr>
        <w:jc w:val="both"/>
        <w:ind w:right="40" w:firstLine="477"/>
        <w:spacing w:after="0" w:line="259" w:lineRule="auto"/>
        <w:rPr>
          <w:sz w:val="20"/>
          <w:szCs w:val="20"/>
          <w:color w:val="auto"/>
        </w:rPr>
      </w:pPr>
      <w:r>
        <w:rPr>
          <w:rFonts w:ascii="Times New Roman" w:cs="Times New Roman" w:eastAsia="Times New Roman" w:hAnsi="Times New Roman"/>
          <w:sz w:val="18"/>
          <w:szCs w:val="18"/>
          <w:color w:val="auto"/>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Resulting net translation adjustments are recorded as a component of stockholders’ equity in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and Trends Affecting Liquidity</w:t>
      </w:r>
    </w:p>
    <w:p>
      <w:pPr>
        <w:spacing w:after="0" w:line="168" w:lineRule="exact"/>
        <w:rPr>
          <w:sz w:val="20"/>
          <w:szCs w:val="20"/>
          <w:color w:val="auto"/>
        </w:rPr>
      </w:pPr>
    </w:p>
    <w:p>
      <w:pPr>
        <w:ind w:right="20" w:firstLine="477"/>
        <w:spacing w:after="0" w:line="251" w:lineRule="auto"/>
        <w:rPr>
          <w:sz w:val="20"/>
          <w:szCs w:val="20"/>
          <w:color w:val="auto"/>
        </w:rPr>
      </w:pPr>
      <w:r>
        <w:rPr>
          <w:rFonts w:ascii="Times New Roman" w:cs="Times New Roman" w:eastAsia="Times New Roman" w:hAnsi="Times New Roman"/>
          <w:sz w:val="18"/>
          <w:szCs w:val="18"/>
          <w:color w:val="auto"/>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t>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Credit Facility or raise additional debt or equity funding to meet those needs. Our ability to borrow or raise additional capital, if necessary, is subject to a variety of factors that we cannot predict with certainty, including:</w:t>
      </w:r>
    </w:p>
    <w:p>
      <w:pPr>
        <w:spacing w:after="0" w:line="132" w:lineRule="exact"/>
        <w:rPr>
          <w:sz w:val="20"/>
          <w:szCs w:val="20"/>
          <w:color w:val="auto"/>
        </w:rPr>
      </w:pPr>
    </w:p>
    <w:p>
      <w:pPr>
        <w:ind w:left="720" w:hanging="23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accounts receivable;</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 levels of debt and equity;</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overall condition of the capital markets; and</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securities.</w:t>
      </w:r>
    </w:p>
    <w:p>
      <w:pPr>
        <w:spacing w:after="0" w:line="164" w:lineRule="exact"/>
        <w:rPr>
          <w:sz w:val="20"/>
          <w:szCs w:val="20"/>
          <w:color w:val="auto"/>
        </w:rPr>
      </w:pPr>
    </w:p>
    <w:p>
      <w:pPr>
        <w:jc w:val="both"/>
        <w:ind w:right="40" w:firstLine="477"/>
        <w:spacing w:after="0" w:line="259" w:lineRule="auto"/>
        <w:rPr>
          <w:sz w:val="20"/>
          <w:szCs w:val="20"/>
          <w:color w:val="auto"/>
        </w:rPr>
      </w:pPr>
      <w:r>
        <w:rPr>
          <w:rFonts w:ascii="Times New Roman" w:cs="Times New Roman" w:eastAsia="Times New Roman" w:hAnsi="Times New Roman"/>
          <w:sz w:val="18"/>
          <w:szCs w:val="18"/>
          <w:color w:val="auto"/>
        </w:rPr>
        <w:t>Any new debt funding, if available, may be on terms less favorable to us than our Credit Facility. See “Forward-Looking Statements” in Part I, Item 2, of this Quarterly Report on Form 10-Q, and the information contained under the heading “Risk Factors” in Part I, Item 1A, of our Annual Report on Form 10-K for the year ended December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40" w:type="dxa"/>
            <w:vAlign w:val="bottom"/>
          </w:tcPr>
          <w:p>
            <w:pPr>
              <w:spacing w:after="0"/>
              <w:rPr>
                <w:sz w:val="16"/>
                <w:szCs w:val="16"/>
                <w:color w:val="auto"/>
              </w:rPr>
            </w:pPr>
          </w:p>
        </w:tc>
        <w:tc>
          <w:tcPr>
            <w:tcW w:w="264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3"/>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(139,592)</w:t>
            </w:r>
          </w:p>
        </w:tc>
      </w:tr>
      <w:tr>
        <w:trPr>
          <w:trHeight w:val="225"/>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r>
      <w:tr>
        <w:trPr>
          <w:trHeight w:val="225"/>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58,317</w:t>
            </w:r>
          </w:p>
        </w:tc>
      </w:tr>
      <w:tr>
        <w:trPr>
          <w:trHeight w:val="225"/>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25"/>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DSO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379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480" w:right="200" w:hanging="474"/>
        <w:spacing w:after="0" w:line="231" w:lineRule="auto"/>
        <w:tabs>
          <w:tab w:leader="none" w:pos="46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DSO is a performance measure used to assess how quickly revenues are collected by the Company. We calculate DSO at the end of each reporting period by dividing net accounts receivable reduced by billings in excess of services provided, by revenues for the quarter, adjusted for changes in FX rates. We multiply the result by the number of days in the quarter.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166" w:lineRule="exact"/>
        <w:rPr>
          <w:sz w:val="20"/>
          <w:szCs w:val="20"/>
          <w:color w:val="auto"/>
        </w:rPr>
      </w:pPr>
    </w:p>
    <w:p>
      <w:pPr>
        <w:ind w:right="80" w:firstLine="477"/>
        <w:spacing w:after="0" w:line="259" w:lineRule="auto"/>
        <w:rPr>
          <w:sz w:val="20"/>
          <w:szCs w:val="20"/>
          <w:color w:val="auto"/>
        </w:rPr>
      </w:pPr>
      <w:r>
        <w:rPr>
          <w:rFonts w:ascii="Times New Roman" w:cs="Times New Roman" w:eastAsia="Times New Roman" w:hAnsi="Times New Roman"/>
          <w:sz w:val="18"/>
          <w:szCs w:val="18"/>
          <w:color w:val="auto"/>
        </w:rPr>
        <w:t>Net cash used in operating activities increased $269.9 million, or 193.4%, to $409.5 million compared to $139.6 million for the six months ended June 30, 2024. The increase in net cash used in operating activities was primarily due to an increase in forgivable loan issuances, compensation and income tax payments and a decrease in cash collections. DSO was 100 and 105 days as of June 30, 2025 and 2024, respectively.</w:t>
      </w:r>
    </w:p>
    <w:p>
      <w:pPr>
        <w:spacing w:after="0" w:line="125" w:lineRule="exact"/>
        <w:rPr>
          <w:sz w:val="20"/>
          <w:szCs w:val="20"/>
          <w:color w:val="auto"/>
        </w:rPr>
      </w:pPr>
    </w:p>
    <w:p>
      <w:pPr>
        <w:jc w:val="both"/>
        <w:ind w:right="40" w:firstLine="477"/>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of $35.2 million during the six months ended June 30, 2025 compared to net cash provided by investing activities of $10.5 million for the six months ended June 30, 2024. The increase in net cash used in investing activities was primarily due to the prior year maturity of a short-term investment of $25.2 million, which created an inflow in the comparative prior year period. In addition, there was a $20.5 million increase in capital expenditures primarily driven by higher spend on leasehold improvements and cloud computing costs as compared to the six months ended June 30, 2024.</w:t>
      </w:r>
    </w:p>
    <w:p>
      <w:pPr>
        <w:spacing w:after="0" w:line="114" w:lineRule="exact"/>
        <w:rPr>
          <w:sz w:val="20"/>
          <w:szCs w:val="20"/>
          <w:color w:val="auto"/>
        </w:rPr>
      </w:pPr>
    </w:p>
    <w:p>
      <w:pPr>
        <w:jc w:val="both"/>
        <w:ind w:right="40" w:firstLine="477"/>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of $84.2 million during the six months ended June 30, 2025 compared to net cash provided by financing activities of $58.3 million for the six months ended June 30, 2024. The increase in net cash used in financing activities was primarily due to $536.7 million in payments for common stock repurchases under the Repurchase Program, which was partially offset by an increase in net borrowings of $410.0 million under our Credit Facility compared to the six months ended June 30, 2024.</w:t>
      </w:r>
    </w:p>
    <w:p>
      <w:pPr>
        <w:spacing w:after="0" w:line="127" w:lineRule="exact"/>
        <w:rPr>
          <w:sz w:val="20"/>
          <w:szCs w:val="20"/>
          <w:color w:val="auto"/>
        </w:rPr>
      </w:pPr>
    </w:p>
    <w:p>
      <w:pPr>
        <w:ind w:right="440" w:firstLine="477"/>
        <w:spacing w:after="0" w:line="274"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had a favorable impact of $21.3 million for the six months ended June 30, 2025 compared to an unfavorable impact of $6.1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35" w:name="page36"/>
    <w:bookmarkEnd w:id="35"/>
    <w:p>
      <w:pPr>
        <w:ind w:right="420" w:firstLine="477"/>
        <w:spacing w:after="0" w:line="274" w:lineRule="auto"/>
        <w:rPr>
          <w:sz w:val="20"/>
          <w:szCs w:val="20"/>
          <w:color w:val="auto"/>
        </w:rPr>
      </w:pPr>
      <w:r>
        <w:rPr>
          <w:rFonts w:ascii="Times New Roman" w:cs="Times New Roman" w:eastAsia="Times New Roman" w:hAnsi="Times New Roman"/>
          <w:sz w:val="18"/>
          <w:szCs w:val="18"/>
          <w:color w:val="auto"/>
        </w:rPr>
        <w:t>Cash paid for income taxes and tax credits, net of tax refunds included $28.9 million and $23.5 million of payments for the purchase of tax credits during the six months ended June 30, 2025 and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Sources of Capital Resources</w:t>
      </w:r>
    </w:p>
    <w:p>
      <w:pPr>
        <w:spacing w:after="0" w:line="166" w:lineRule="exact"/>
        <w:rPr>
          <w:sz w:val="20"/>
          <w:szCs w:val="20"/>
          <w:color w:val="auto"/>
        </w:rPr>
      </w:pPr>
    </w:p>
    <w:p>
      <w:pPr>
        <w:jc w:val="both"/>
        <w:ind w:right="320" w:firstLine="477"/>
        <w:spacing w:after="0" w:line="282" w:lineRule="auto"/>
        <w:rPr>
          <w:sz w:val="20"/>
          <w:szCs w:val="20"/>
          <w:color w:val="auto"/>
        </w:rPr>
      </w:pPr>
      <w:r>
        <w:rPr>
          <w:rFonts w:ascii="Times New Roman" w:cs="Times New Roman" w:eastAsia="Times New Roman" w:hAnsi="Times New Roman"/>
          <w:sz w:val="17"/>
          <w:szCs w:val="17"/>
          <w:color w:val="auto"/>
        </w:rPr>
        <w:t>As of June 30, 2025, our capital resources included $152.8 million of cash and cash equivalents and available borrowing capacity of $430.0 million under the revolving line of credit under our Credit Facility. The $900.0 million revolving line of credit under our Credit Facility includes a $125.0 million sublimit for borrowings in currencies other than USD, including the euro, British pound, Australian dollar, Canadian dollar, Swiss franc and Japanese yen.</w:t>
      </w:r>
    </w:p>
    <w:p>
      <w:pPr>
        <w:spacing w:after="0" w:line="106" w:lineRule="exact"/>
        <w:rPr>
          <w:sz w:val="20"/>
          <w:szCs w:val="20"/>
          <w:color w:val="auto"/>
        </w:rPr>
      </w:pPr>
    </w:p>
    <w:p>
      <w:pPr>
        <w:ind w:right="300" w:firstLine="477"/>
        <w:spacing w:after="0" w:line="255" w:lineRule="auto"/>
        <w:rPr>
          <w:sz w:val="20"/>
          <w:szCs w:val="20"/>
          <w:color w:val="auto"/>
        </w:rPr>
      </w:pPr>
      <w:r>
        <w:rPr>
          <w:rFonts w:ascii="Times New Roman" w:cs="Times New Roman" w:eastAsia="Times New Roman" w:hAnsi="Times New Roman"/>
          <w:sz w:val="18"/>
          <w:szCs w:val="18"/>
          <w:color w:val="auto"/>
        </w:rPr>
        <w:t>The availability of borrowings, as well as issuances and extensions of letters of credit under our Credit Facility, are subject to specified conditions. Subject to certain conditions, at any time prior to maturity, we will be able to invite existing and new lenders to increase the size of the facility up to a maximum of $1.2 billion. See Note 8, “Debt” in Part I, Item 1, of this Quarterly Report on Form 10-Q for a further discussion of variable interest rates and guarantees under the Credit Facility.</w:t>
      </w:r>
    </w:p>
    <w:p>
      <w:pPr>
        <w:spacing w:after="0" w:line="127" w:lineRule="exact"/>
        <w:rPr>
          <w:sz w:val="20"/>
          <w:szCs w:val="20"/>
          <w:color w:val="auto"/>
        </w:rPr>
      </w:pPr>
    </w:p>
    <w:p>
      <w:pPr>
        <w:ind w:right="80" w:firstLine="477"/>
        <w:spacing w:after="0" w:line="266" w:lineRule="auto"/>
        <w:rPr>
          <w:sz w:val="20"/>
          <w:szCs w:val="20"/>
          <w:color w:val="auto"/>
        </w:rPr>
      </w:pPr>
      <w:r>
        <w:rPr>
          <w:rFonts w:ascii="Times New Roman" w:cs="Times New Roman" w:eastAsia="Times New Roman" w:hAnsi="Times New Roman"/>
          <w:sz w:val="17"/>
          <w:szCs w:val="17"/>
          <w:color w:val="auto"/>
        </w:rPr>
        <w:t>The second amended and restated credit agreement entered into on November 21, 2022 (the “Credit Agreement”) governing the Credit Facility and our other indebtedness outstanding from time to time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or our foreign subsidiaries; enter into hedging agreements; enter into transactions with affiliates or related persons; or engage in any business other than consulting-related businesses. In addition, the Credit Agreement includes a financial covenant that requires us not to exceed a maximum consolidated total net leverage ratio (the ratio of funded debt (less unrestricted cash up to $300.0 million) to Consolidated EBITDA, as defined in the Credit Agreement). As of June 30, 2025, we were in compliance with the covenants contained in the Credit Agreement. See Note 8, “Debt” in Part I, Item 1, of this Quarterly Report on Form 10-Q for a further discussion of the Credit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Uses of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anticipate that our future capital requirements will principally consist of funds required for:</w:t>
      </w:r>
    </w:p>
    <w:p>
      <w:pPr>
        <w:spacing w:after="0" w:line="164" w:lineRule="exact"/>
        <w:rPr>
          <w:sz w:val="20"/>
          <w:szCs w:val="20"/>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general corporate expenses;</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information technology equipment and systems, office furniture and leasehold improvements;</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including interest payments;</w:t>
      </w:r>
    </w:p>
    <w:p>
      <w:pPr>
        <w:spacing w:after="0" w:line="164" w:lineRule="exact"/>
        <w:rPr>
          <w:rFonts w:ascii="Times New Roman" w:cs="Times New Roman" w:eastAsia="Times New Roman" w:hAnsi="Times New Roman"/>
          <w:sz w:val="18"/>
          <w:szCs w:val="18"/>
          <w:color w:val="auto"/>
        </w:rPr>
      </w:pPr>
    </w:p>
    <w:p>
      <w:pPr>
        <w:ind w:left="720" w:right="220" w:hanging="237"/>
        <w:spacing w:after="0" w:line="274" w:lineRule="auto"/>
        <w:tabs>
          <w:tab w:leader="none" w:pos="7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designated executive management and senior managing directors under our various long-term incentive compensation programs, including forgivable loans;</w:t>
      </w:r>
    </w:p>
    <w:p>
      <w:pPr>
        <w:spacing w:after="0" w:line="110"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funding of the Repurchase Program;</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related to our acquisitions;</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w:t>
      </w:r>
    </w:p>
    <w:p>
      <w:pPr>
        <w:spacing w:after="0" w:line="16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known future contractual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8" w:lineRule="exact"/>
        <w:rPr>
          <w:sz w:val="20"/>
          <w:szCs w:val="20"/>
          <w:color w:val="auto"/>
        </w:rPr>
      </w:pPr>
    </w:p>
    <w:p>
      <w:pPr>
        <w:ind w:firstLine="477"/>
        <w:spacing w:after="0" w:line="251" w:lineRule="auto"/>
        <w:rPr>
          <w:sz w:val="20"/>
          <w:szCs w:val="20"/>
          <w:color w:val="auto"/>
        </w:rPr>
      </w:pPr>
      <w:r>
        <w:rPr>
          <w:rFonts w:ascii="Times New Roman" w:cs="Times New Roman" w:eastAsia="Times New Roman" w:hAnsi="Times New Roman"/>
          <w:sz w:val="18"/>
          <w:szCs w:val="18"/>
          <w:color w:val="auto"/>
        </w:rPr>
        <w:t>During the six months ended June 30, 2025, we spent $35.2 million in capital expenditures to support our organization. For the remainder of 2025, we currently expect additional capital expenditures to support our organization in an aggregate amount of between $29 million and $36 million. Our estimate takes into consideration the needs of our existing businesses but does not include the impact of any purchases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additional acquisitions.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ind w:right="40" w:firstLine="636"/>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we made $536.7 million in payments for common stock repurchases under the Repurchase Program. We had $309.3 million remaining available under the Repurchase Program to repurchase additional shares of our common stock as of June 30,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Obligations</w:t>
      </w:r>
    </w:p>
    <w:p>
      <w:pPr>
        <w:spacing w:after="0" w:line="168" w:lineRule="exact"/>
        <w:rPr>
          <w:sz w:val="20"/>
          <w:szCs w:val="20"/>
          <w:color w:val="auto"/>
        </w:rPr>
      </w:pPr>
    </w:p>
    <w:p>
      <w:pPr>
        <w:ind w:right="260" w:firstLine="477"/>
        <w:spacing w:after="0" w:line="255" w:lineRule="auto"/>
        <w:rPr>
          <w:sz w:val="20"/>
          <w:szCs w:val="20"/>
          <w:color w:val="auto"/>
        </w:rPr>
      </w:pPr>
      <w:r>
        <w:rPr>
          <w:rFonts w:ascii="Times New Roman" w:cs="Times New Roman" w:eastAsia="Times New Roman" w:hAnsi="Times New Roman"/>
          <w:sz w:val="18"/>
          <w:szCs w:val="18"/>
          <w:color w:val="auto"/>
        </w:rPr>
        <w:t>Our future contractual obligations as of June 30, 2025 include long-term obligations of $470.0 million related to outstanding borrowings under our Credit Facility. For more information on our Credit Facility, refer to Note 8, “Debt” in Part I, Item 1 of this Quarterly Report on Form 10-Q. Under our operating leases as described in Note 9, “Leases” in Part I, Item 1 of this Quarterly Report on Form 10-Q, we have current obligations of $36.0 million and non-current obligations of $216.7 million.</w:t>
      </w:r>
    </w:p>
    <w:p>
      <w:pPr>
        <w:spacing w:after="0" w:line="127" w:lineRule="exact"/>
        <w:rPr>
          <w:sz w:val="20"/>
          <w:szCs w:val="20"/>
          <w:color w:val="auto"/>
        </w:rPr>
      </w:pPr>
    </w:p>
    <w:p>
      <w:pPr>
        <w:ind w:right="200" w:firstLine="477"/>
        <w:spacing w:after="0" w:line="274" w:lineRule="auto"/>
        <w:rPr>
          <w:sz w:val="20"/>
          <w:szCs w:val="20"/>
          <w:color w:val="auto"/>
        </w:rPr>
      </w:pPr>
      <w:r>
        <w:rPr>
          <w:rFonts w:ascii="Times New Roman" w:cs="Times New Roman" w:eastAsia="Times New Roman" w:hAnsi="Times New Roman"/>
          <w:sz w:val="18"/>
          <w:szCs w:val="18"/>
          <w:color w:val="auto"/>
        </w:rPr>
        <w:t>These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8" w:lineRule="exact"/>
        <w:rPr>
          <w:sz w:val="20"/>
          <w:szCs w:val="20"/>
          <w:color w:val="auto"/>
        </w:rPr>
      </w:pPr>
    </w:p>
    <w:p>
      <w:pPr>
        <w:ind w:right="80" w:firstLine="477"/>
        <w:spacing w:after="0" w:line="271" w:lineRule="auto"/>
        <w:rPr>
          <w:sz w:val="20"/>
          <w:szCs w:val="20"/>
          <w:color w:val="auto"/>
        </w:rPr>
      </w:pPr>
      <w:r>
        <w:rPr>
          <w:rFonts w:ascii="Times New Roman" w:cs="Times New Roman" w:eastAsia="Times New Roman" w:hAnsi="Times New Roman"/>
          <w:sz w:val="17"/>
          <w:szCs w:val="17"/>
          <w:color w:val="auto"/>
        </w:rPr>
        <w:t>As of June 30, 2025 and December 31, 2024, the Company was contingently liable under bank guarantees issued in favor of third parties that totaled $16.2 million and $10.9 million, respectively. These bank guarantees primarily support bid and performance obligations and operating leases for office space. The amounts are guaranteed under guarantee facilities totaling $47.4 million and $42.7 million as of June 30, 2025 and December 31, 2024, respectively. The Company had $31.2 million and $31.8 million available under the guarantee facilities as of June 30, 2025 and December 31, 2024, respectively. These bank guarantees are issued separately from our Credit Facility and, as a result, do not affect available borrowing capacity under our Credit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6" w:lineRule="exact"/>
        <w:rPr>
          <w:sz w:val="20"/>
          <w:szCs w:val="20"/>
          <w:color w:val="auto"/>
        </w:rPr>
      </w:pPr>
    </w:p>
    <w:p>
      <w:pPr>
        <w:ind w:firstLine="477"/>
        <w:spacing w:after="0" w:line="247" w:lineRule="auto"/>
        <w:rPr>
          <w:sz w:val="20"/>
          <w:szCs w:val="20"/>
          <w:color w:val="auto"/>
        </w:rPr>
      </w:pPr>
      <w:r>
        <w:rPr>
          <w:rFonts w:ascii="Times New Roman" w:cs="Times New Roman" w:eastAsia="Times New Roman" w:hAnsi="Times New Roman"/>
          <w:sz w:val="18"/>
          <w:szCs w:val="18"/>
          <w:color w:val="auto"/>
        </w:rPr>
        <w:t xml:space="preserve">This Quarterly Report on Form 10-Q includes “forward-looking statements” within the meaning of Section 27A of the Securities Act of 1933, as amended (the “Securities Act”), and Section 21E of the Securities Exchange Act of 1934, as amended (the “Exchange Act”), that involve uncertainties and risks. Forward-looking statements include statements concerning our plans, initiatives, projections, prospects, policies, processes and practices, objectives, goals, commitments, strategies, future events, future revenues, future results and performance, future capital allocations and expenditures, expectations, plans or intentions relating to acquisitions, share repurchases and other matters, business trends, new, or changes to, laws and regulations, including U.S. and foreign tax laws, environmental, social and governance (“ESG”)-related issues, climate change-related matters, scientific or technological developments, including relating to new and emerging technologies, such as AI and machine learning and other information that is not historical. Forward-looking statements often contain words such as </w:t>
      </w:r>
      <w:r>
        <w:rPr>
          <w:rFonts w:ascii="Times New Roman" w:cs="Times New Roman" w:eastAsia="Times New Roman" w:hAnsi="Times New Roman"/>
          <w:sz w:val="18"/>
          <w:szCs w:val="18"/>
          <w:i w:val="1"/>
          <w:iCs w:val="1"/>
          <w:color w:val="auto"/>
        </w:rPr>
        <w:t>“estimates,” “expects,” “anticipates,” “projects,” “plans,” “intends,” “believes,” “commits,” “aspires,” “forecasts,”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“goal,” “seeks” </w:t>
      </w:r>
      <w:r>
        <w:rPr>
          <w:rFonts w:ascii="Times New Roman" w:cs="Times New Roman" w:eastAsia="Times New Roman" w:hAnsi="Times New Roman"/>
          <w:sz w:val="18"/>
          <w:szCs w:val="18"/>
          <w:color w:val="auto"/>
        </w:rPr>
        <w:t>and variations of such words or similar expressions. All forward-looking statements, including, without limitation, management’s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and examination of operating trends, are based upon our historical performance and our current plans, estimates, intentions and expectations at the time we make them, and various assumptions. Our actual financial results, performance or achievements and outcomes could differ materially from those expressed in, or implied by, any forward-looking statements. Any references to standards of measurement and performance made regarding our climate change-, ESG- or other sustainability-related plans, goals, commitments, intentions, aspirations, forecasts or projections, or expectations are developing and based on assumptions. There can be no assurance that management’s plans, performance, expectations, intentions, aspirations, beliefs, goals, estimates, forecasts and projections, including any that are ESG- or other sustainability-related, will result or be achieved, and the inclusion of any forward-looking information should not be regarded as a representation by us or any other person that the future plans, estimates, forecasts, intentions, aspirations, beliefs or expectations contemplated by us will be achieved. Given these risks, uncertainties and other factors, you should not place undue reliance on any forward-looking statements.</w:t>
      </w:r>
    </w:p>
    <w:p>
      <w:pPr>
        <w:spacing w:after="0" w:line="141" w:lineRule="exact"/>
        <w:rPr>
          <w:sz w:val="20"/>
          <w:szCs w:val="20"/>
          <w:color w:val="auto"/>
        </w:rPr>
      </w:pPr>
    </w:p>
    <w:p>
      <w:pPr>
        <w:ind w:right="40" w:firstLine="477"/>
        <w:spacing w:after="0" w:line="251"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our actual results to differ materially from the forward-looking statements contained in, or implied by, this Quarterly Report on Form 10-Q. Important factors that could cause our actual results to differ materially from the forward-looking statements we make in this Quarterly Report on Form 10-Q include those set forth under the heading “Risk Factors” in Part I, Item 1A, of our Annual Report on Form 10-K for the year ended December 31, 2024, as well as in other information that we file with the SEC from time to time. Important factors that could cause our actual results to differ materially from the forward-looking statements we make in this Quarterly Report on Form 10-Q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7" w:name="page38"/>
    <w:bookmarkEnd w:id="37"/>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services;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professionals and senior management, including segment, industry and regional leaders;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resulting in our inability to represent certain clients;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employees joining or forming competing businesses;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legislation rendering contractual protections against competition by former employees unenforceable;</w:t>
      </w:r>
    </w:p>
    <w:p>
      <w:pPr>
        <w:spacing w:after="0" w:line="164" w:lineRule="exact"/>
        <w:rPr>
          <w:rFonts w:ascii="Times New Roman" w:cs="Times New Roman" w:eastAsia="Times New Roman" w:hAnsi="Times New Roman"/>
          <w:sz w:val="18"/>
          <w:szCs w:val="18"/>
          <w:color w:val="auto"/>
        </w:rPr>
      </w:pPr>
    </w:p>
    <w:p>
      <w:pPr>
        <w:ind w:left="24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needs and our professionals’ utilization and billing rates and maintain or increase the pricing of our services and products;</w:t>
      </w:r>
    </w:p>
    <w:p>
      <w:pPr>
        <w:spacing w:after="0" w:line="110" w:lineRule="exact"/>
        <w:rPr>
          <w:rFonts w:ascii="Times New Roman" w:cs="Times New Roman" w:eastAsia="Times New Roman" w:hAnsi="Times New Roman"/>
          <w:sz w:val="18"/>
          <w:szCs w:val="18"/>
          <w:color w:val="auto"/>
        </w:rPr>
      </w:pPr>
    </w:p>
    <w:p>
      <w:pPr>
        <w:ind w:left="240" w:right="12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negotiate favorable terms, take advantage of opportunistic acquisition situations and integrate the operations of acquisitions, as well as the costs of integration;</w:t>
      </w:r>
    </w:p>
    <w:p>
      <w:pPr>
        <w:spacing w:after="0" w:line="110"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and manage the risks associated with operating in non-U.S. markets;</w:t>
      </w:r>
    </w:p>
    <w:p>
      <w:pPr>
        <w:spacing w:after="0" w:line="164" w:lineRule="exact"/>
        <w:rPr>
          <w:rFonts w:ascii="Times New Roman" w:cs="Times New Roman" w:eastAsia="Times New Roman" w:hAnsi="Times New Roman"/>
          <w:sz w:val="18"/>
          <w:szCs w:val="18"/>
          <w:color w:val="auto"/>
        </w:rPr>
      </w:pPr>
    </w:p>
    <w:p>
      <w:pPr>
        <w:ind w:left="240" w:right="50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replace key personnel, including former executives, officers, senior managers and practice and regional leaders who have highly specialized skills and experience;</w:t>
      </w:r>
    </w:p>
    <w:p>
      <w:pPr>
        <w:spacing w:after="0" w:line="110" w:lineRule="exact"/>
        <w:rPr>
          <w:rFonts w:ascii="Times New Roman" w:cs="Times New Roman" w:eastAsia="Times New Roman" w:hAnsi="Times New Roman"/>
          <w:sz w:val="18"/>
          <w:szCs w:val="18"/>
          <w:color w:val="auto"/>
        </w:rPr>
      </w:pPr>
    </w:p>
    <w:p>
      <w:pPr>
        <w:ind w:left="240" w:right="58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confidentiality of internal and client data and proprietary and confidential information, including from cyberattacks, systems failures or other similar events or outside or internal bad actors, or the use or misuse of social media;</w:t>
      </w:r>
    </w:p>
    <w:p>
      <w:pPr>
        <w:spacing w:after="0" w:line="110"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judicial rulings, including legislation or rulings regarding data privacy and the discovery process;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revenues, operating income and cash flows;</w:t>
      </w:r>
    </w:p>
    <w:p>
      <w:pPr>
        <w:spacing w:after="0" w:line="164" w:lineRule="exact"/>
        <w:rPr>
          <w:rFonts w:ascii="Times New Roman" w:cs="Times New Roman" w:eastAsia="Times New Roman" w:hAnsi="Times New Roman"/>
          <w:sz w:val="18"/>
          <w:szCs w:val="18"/>
          <w:color w:val="auto"/>
        </w:rPr>
      </w:pPr>
    </w:p>
    <w:p>
      <w:pPr>
        <w:ind w:left="240" w:right="12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as a result of claims involving the quality of our services, failures of our internal information technology systems controls or adverse publicity relating to certain clients or engagements;</w:t>
      </w:r>
    </w:p>
    <w:p>
      <w:pPr>
        <w:spacing w:after="0" w:line="110"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discounting or renegotiation, lower pricing, less advantageous contract terms and unexpected termination of client engagements;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clients and key personnel;</w:t>
      </w:r>
    </w:p>
    <w:p>
      <w:pPr>
        <w:spacing w:after="0" w:line="164" w:lineRule="exact"/>
        <w:rPr>
          <w:rFonts w:ascii="Times New Roman" w:cs="Times New Roman" w:eastAsia="Times New Roman" w:hAnsi="Times New Roman"/>
          <w:sz w:val="18"/>
          <w:szCs w:val="18"/>
          <w:color w:val="auto"/>
        </w:rPr>
      </w:pPr>
    </w:p>
    <w:p>
      <w:pPr>
        <w:ind w:left="240" w:right="28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industry trends, restructuring and bankruptcy rates, legal or regulatory requirements, capital market conditions, merger and acquisition activity, major litigation activity, geopolitical disruptions and other events outside of our control;</w:t>
      </w:r>
    </w:p>
    <w:p>
      <w:pPr>
        <w:spacing w:after="0" w:line="110"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non-payment of receivables;</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terms of our outstanding indebtedness;</w:t>
      </w:r>
    </w:p>
    <w:p>
      <w:pPr>
        <w:spacing w:after="0" w:line="164" w:lineRule="exact"/>
        <w:rPr>
          <w:rFonts w:ascii="Times New Roman" w:cs="Times New Roman" w:eastAsia="Times New Roman" w:hAnsi="Times New Roman"/>
          <w:sz w:val="18"/>
          <w:szCs w:val="18"/>
          <w:color w:val="auto"/>
        </w:rPr>
      </w:pPr>
    </w:p>
    <w:p>
      <w:pPr>
        <w:ind w:left="240" w:right="140" w:hanging="237"/>
        <w:spacing w:after="0" w:line="255"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obsolescence, replacement, protection, implementation or operation of our information technology systems, including our enterprise resource planning and other financial systems, and software, proprietary software products, intellectual property rights and trade secrets, which could adversely affect our ability to retain or win clients, conduct business, preserve or enhance our reputation, maintain business continuity or report financial results;</w:t>
      </w:r>
    </w:p>
    <w:p>
      <w:pPr>
        <w:spacing w:after="0" w:line="127"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adoption and integration of technological innovations such as AI and machine learning;</w:t>
      </w:r>
    </w:p>
    <w:p>
      <w:pPr>
        <w:spacing w:after="0" w:line="164"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disruptions and currency fluctuations between the U.S. dollar and foreign currencies;</w:t>
      </w:r>
    </w:p>
    <w:p>
      <w:pPr>
        <w:spacing w:after="0" w:line="164" w:lineRule="exact"/>
        <w:rPr>
          <w:rFonts w:ascii="Times New Roman" w:cs="Times New Roman" w:eastAsia="Times New Roman" w:hAnsi="Times New Roman"/>
          <w:sz w:val="18"/>
          <w:szCs w:val="18"/>
          <w:color w:val="auto"/>
        </w:rPr>
      </w:pPr>
    </w:p>
    <w:p>
      <w:pPr>
        <w:ind w:left="240" w:right="64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including the enactment of tax legislation, proposed from time to time, into law, which could increase our effective tax rate and cash tax expenditures;</w:t>
      </w:r>
    </w:p>
    <w:p>
      <w:pPr>
        <w:spacing w:after="0" w:line="110" w:lineRule="exact"/>
        <w:rPr>
          <w:rFonts w:ascii="Times New Roman" w:cs="Times New Roman" w:eastAsia="Times New Roman" w:hAnsi="Times New Roman"/>
          <w:sz w:val="18"/>
          <w:szCs w:val="18"/>
          <w:color w:val="auto"/>
        </w:rPr>
      </w:pPr>
    </w:p>
    <w:p>
      <w:pPr>
        <w:ind w:left="240" w:right="160" w:hanging="237"/>
        <w:spacing w:after="0" w:line="274" w:lineRule="auto"/>
        <w:tabs>
          <w:tab w:leader="none" w:pos="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risks related to climate change, including rising temperatures, severe storms, energy disruptions, fires or wildfires, flooding and rising sea levels, among others, which could adversely impact our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60"/>
          </w:cols>
          <w:pgMar w:left="800" w:top="876" w:right="339" w:bottom="1440" w:gutter="0" w:footer="0" w:header="0"/>
        </w:sectPr>
      </w:pPr>
    </w:p>
    <w:bookmarkStart w:id="38" w:name="page39"/>
    <w:bookmarkEnd w:id="38"/>
    <w:p>
      <w:pPr>
        <w:ind w:left="720" w:right="540"/>
        <w:spacing w:after="0" w:line="274" w:lineRule="auto"/>
        <w:rPr>
          <w:sz w:val="20"/>
          <w:szCs w:val="20"/>
          <w:color w:val="auto"/>
        </w:rPr>
      </w:pPr>
      <w:r>
        <w:rPr>
          <w:rFonts w:ascii="Times New Roman" w:cs="Times New Roman" w:eastAsia="Times New Roman" w:hAnsi="Times New Roman"/>
          <w:sz w:val="18"/>
          <w:szCs w:val="18"/>
          <w:color w:val="auto"/>
        </w:rPr>
        <w:t>or maintain business continuity, including by affecting our access to our leased office space in affected geographies and the integrity of our information technology systems;</w:t>
      </w:r>
    </w:p>
    <w:p>
      <w:pPr>
        <w:spacing w:after="0" w:line="110" w:lineRule="exact"/>
        <w:rPr>
          <w:sz w:val="20"/>
          <w:szCs w:val="20"/>
          <w:color w:val="auto"/>
        </w:rPr>
      </w:pPr>
    </w:p>
    <w:p>
      <w:pPr>
        <w:ind w:left="720" w:right="340" w:hanging="237"/>
        <w:spacing w:after="0" w:line="259" w:lineRule="auto"/>
        <w:tabs>
          <w:tab w:leader="none" w:pos="7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change and ESG-related initiatives and goals, including our policies and practices relating to the environment and climate change, sustainability, and inclusion, if they do not meet or keep pace with current or evolving governmental, investor or other stakeholder or media (including social media) expectations and standards or rules and regulations; and</w:t>
      </w:r>
    </w:p>
    <w:p>
      <w:pPr>
        <w:spacing w:after="0" w:line="124" w:lineRule="exact"/>
        <w:rPr>
          <w:rFonts w:ascii="Times New Roman" w:cs="Times New Roman" w:eastAsia="Times New Roman" w:hAnsi="Times New Roman"/>
          <w:sz w:val="18"/>
          <w:szCs w:val="18"/>
          <w:color w:val="auto"/>
        </w:rPr>
      </w:pPr>
    </w:p>
    <w:p>
      <w:pPr>
        <w:ind w:left="720" w:hanging="237"/>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services and the geographic locations in which our clients are located or our services are rendered.</w:t>
      </w:r>
    </w:p>
    <w:p>
      <w:pPr>
        <w:spacing w:after="0" w:line="164" w:lineRule="exact"/>
        <w:rPr>
          <w:sz w:val="20"/>
          <w:szCs w:val="20"/>
          <w:color w:val="auto"/>
        </w:rPr>
      </w:pPr>
    </w:p>
    <w:p>
      <w:pPr>
        <w:ind w:right="20" w:firstLine="477"/>
        <w:spacing w:after="0" w:line="255" w:lineRule="auto"/>
        <w:rPr>
          <w:sz w:val="20"/>
          <w:szCs w:val="20"/>
          <w:color w:val="auto"/>
        </w:rPr>
      </w:pPr>
      <w:r>
        <w:rPr>
          <w:rFonts w:ascii="Times New Roman" w:cs="Times New Roman" w:eastAsia="Times New Roman" w:hAnsi="Times New Roman"/>
          <w:sz w:val="18"/>
          <w:szCs w:val="18"/>
          <w:color w:val="auto"/>
        </w:rPr>
        <w:t>There may be other factors that may cause our actual results to differ materially from our forward-looking statements. All forward-looking statements attributable to us or persons acting on our behalf apply only as of the date of this Quarterly Report on Form 10-Q and are expressly qualified in their entirety by the cautionary statements included herein. We undertake no obligation to publicly update or revise any forward-looking statements to reflect subsequent events or circumstances and do not intend to do so.</w:t>
      </w:r>
    </w:p>
    <w:p>
      <w:pPr>
        <w:spacing w:after="0" w:line="16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9" w:lineRule="exact"/>
        <w:rPr>
          <w:sz w:val="20"/>
          <w:szCs w:val="20"/>
          <w:color w:val="auto"/>
        </w:rPr>
      </w:pPr>
    </w:p>
    <w:p>
      <w:pPr>
        <w:ind w:firstLine="477"/>
        <w:spacing w:after="0" w:line="259"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“Quantitative and Qualitative Disclosures About Market Risk” in Part II, Item 7A, of our Annual Report on Form 10-K for the year ended December 31, 2024. There have been no material changes in our market risk exposure during the period covered by this Quarterly Report on Form 10-Q.</w:t>
      </w:r>
    </w:p>
    <w:p>
      <w:pPr>
        <w:spacing w:after="0" w:line="163"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2" w:lineRule="exact"/>
        <w:rPr>
          <w:sz w:val="20"/>
          <w:szCs w:val="20"/>
          <w:color w:val="auto"/>
        </w:rPr>
      </w:pPr>
    </w:p>
    <w:p>
      <w:pPr>
        <w:ind w:right="40" w:firstLine="477"/>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An evaluation of the effectiveness of the design and operation of our “disclosure controls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(as defined in Rule 13a-15(e) under the Exchange Act), as of the end of the period covered by this Quarterly Report on Form 10-Q,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ind w:right="140" w:firstLine="477"/>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r>
        <w:rPr>
          <w:rFonts w:ascii="Times New Roman" w:cs="Times New Roman" w:eastAsia="Times New Roman" w:hAnsi="Times New Roman"/>
          <w:sz w:val="17"/>
          <w:szCs w:val="17"/>
          <w:color w:val="auto"/>
        </w:rPr>
        <w:t>. There have not been any changes in our internal control over financial reporting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876" w:right="4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4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9" w:lineRule="exact"/>
        <w:rPr>
          <w:sz w:val="20"/>
          <w:szCs w:val="20"/>
          <w:color w:val="auto"/>
        </w:rPr>
      </w:pPr>
    </w:p>
    <w:p>
      <w:pPr>
        <w:jc w:val="both"/>
        <w:ind w:firstLine="477"/>
        <w:spacing w:after="0" w:line="252"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 to claims, asserted or unasserted, or named as a party to lawsuits or investigations. Litigation, in general, and intellectual property and securities litigation in particular, can be expensive and disruptive to normal business operations. Moreover, the results of legal proceedings cannot be predicted with any certainty and in the case of more complex legal proceedings such as intellectual property and securities litigation, the results are difficult to predict at all. We are not aware of any asserted or unasserted legal proceedings or claims that we believe would have a material adverse effect on our financial condition or our results of operations.</w:t>
      </w:r>
    </w:p>
    <w:p>
      <w:pPr>
        <w:spacing w:after="0" w:line="17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6" w:lineRule="exact"/>
        <w:rPr>
          <w:sz w:val="20"/>
          <w:szCs w:val="20"/>
          <w:color w:val="auto"/>
        </w:rPr>
      </w:pPr>
    </w:p>
    <w:p>
      <w:pPr>
        <w:jc w:val="both"/>
        <w:ind w:right="340" w:firstLine="636"/>
        <w:spacing w:after="0" w:line="282" w:lineRule="auto"/>
        <w:rPr>
          <w:sz w:val="20"/>
          <w:szCs w:val="20"/>
          <w:color w:val="auto"/>
        </w:rPr>
      </w:pPr>
      <w:r>
        <w:rPr>
          <w:rFonts w:ascii="Times New Roman" w:cs="Times New Roman" w:eastAsia="Times New Roman" w:hAnsi="Times New Roman"/>
          <w:sz w:val="17"/>
          <w:szCs w:val="17"/>
          <w:color w:val="auto"/>
        </w:rPr>
        <w:t>There have been no material changes in any risk factors previously disclosed in Part I, Item 1A, of our Annual Report on Form 10-K for the year ended December 31, 2024 filed with the SEC. We may disclose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44"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Repurchases of our common stock.</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three months ended June 30, 2025:</w:t>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00" w:type="dxa"/>
            <w:vAlign w:val="bottom"/>
          </w:tcPr>
          <w:p>
            <w:pPr>
              <w:spacing w:after="0"/>
              <w:rPr>
                <w:sz w:val="15"/>
                <w:szCs w:val="15"/>
                <w:color w:val="auto"/>
              </w:rPr>
            </w:pPr>
          </w:p>
        </w:tc>
        <w:tc>
          <w:tcPr>
            <w:tcW w:w="13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April 1 through April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May 1 through May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June 1 through June 30,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13798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60" w:type="dxa"/>
            <w:vAlign w:val="bottom"/>
          </w:tcPr>
          <w:p>
            <w:pPr>
              <w:spacing w:after="0"/>
              <w:rPr>
                <w:sz w:val="17"/>
                <w:szCs w:val="17"/>
                <w:color w:val="auto"/>
              </w:rPr>
            </w:pPr>
          </w:p>
        </w:tc>
        <w:tc>
          <w:tcPr>
            <w:tcW w:w="19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78"/>
        </w:trPr>
        <w:tc>
          <w:tcPr>
            <w:tcW w:w="220" w:type="dxa"/>
            <w:vAlign w:val="bottom"/>
          </w:tcPr>
          <w:p>
            <w:pPr>
              <w:spacing w:after="0"/>
              <w:rPr>
                <w:sz w:val="15"/>
                <w:szCs w:val="15"/>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00" w:type="dxa"/>
            <w:vAlign w:val="bottom"/>
            <w:gridSpan w:val="2"/>
          </w:tcPr>
          <w:p>
            <w:pPr>
              <w:jc w:val="center"/>
              <w:ind w:right="380"/>
              <w:spacing w:after="0" w:line="17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5"/>
                <w:szCs w:val="15"/>
                <w:color w:val="auto"/>
              </w:rPr>
            </w:pPr>
          </w:p>
        </w:tc>
        <w:tc>
          <w:tcPr>
            <w:tcW w:w="1960" w:type="dxa"/>
            <w:vAlign w:val="bottom"/>
          </w:tcPr>
          <w:p>
            <w:pPr>
              <w:jc w:val="center"/>
              <w:ind w:right="72"/>
              <w:spacing w:after="0" w:line="178" w:lineRule="exact"/>
              <w:rPr>
                <w:sz w:val="20"/>
                <w:szCs w:val="20"/>
                <w:color w:val="auto"/>
              </w:rPr>
            </w:pPr>
            <w:r>
              <w:rPr>
                <w:rFonts w:ascii="Times New Roman" w:cs="Times New Roman" w:eastAsia="Times New Roman" w:hAnsi="Times New Roman"/>
                <w:sz w:val="18"/>
                <w:szCs w:val="18"/>
                <w:b w:val="1"/>
                <w:bCs w:val="1"/>
                <w:color w:val="auto"/>
                <w:w w:val="96"/>
              </w:rPr>
              <w:t>Dollar Value of Shares</w:t>
            </w:r>
          </w:p>
        </w:tc>
        <w:tc>
          <w:tcPr>
            <w:tcW w:w="0" w:type="dxa"/>
            <w:vAlign w:val="bottom"/>
          </w:tcPr>
          <w:p>
            <w:pPr>
              <w:spacing w:after="0"/>
              <w:rPr>
                <w:sz w:val="1"/>
                <w:szCs w:val="1"/>
                <w:color w:val="auto"/>
              </w:rPr>
            </w:pPr>
          </w:p>
        </w:tc>
      </w:tr>
      <w:tr>
        <w:trPr>
          <w:trHeight w:val="179"/>
        </w:trPr>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10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60" w:type="dxa"/>
            <w:vAlign w:val="bottom"/>
          </w:tcPr>
          <w:p>
            <w:pPr>
              <w:spacing w:after="0"/>
              <w:rPr>
                <w:sz w:val="15"/>
                <w:szCs w:val="15"/>
                <w:color w:val="auto"/>
              </w:rPr>
            </w:pPr>
          </w:p>
        </w:tc>
        <w:tc>
          <w:tcPr>
            <w:tcW w:w="1960" w:type="dxa"/>
            <w:vAlign w:val="bottom"/>
          </w:tcPr>
          <w:p>
            <w:pPr>
              <w:jc w:val="center"/>
              <w:ind w:right="72"/>
              <w:spacing w:after="0" w:line="179" w:lineRule="exact"/>
              <w:rPr>
                <w:sz w:val="20"/>
                <w:szCs w:val="20"/>
                <w:color w:val="auto"/>
              </w:rPr>
            </w:pPr>
            <w:r>
              <w:rPr>
                <w:rFonts w:ascii="Times New Roman" w:cs="Times New Roman" w:eastAsia="Times New Roman" w:hAnsi="Times New Roman"/>
                <w:sz w:val="18"/>
                <w:szCs w:val="18"/>
                <w:b w:val="1"/>
                <w:bCs w:val="1"/>
                <w:color w:val="auto"/>
                <w:w w:val="96"/>
              </w:rPr>
              <w:t>That May Yet Be</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8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4"/>
              </w:rPr>
              <w:t>Price</w:t>
            </w:r>
          </w:p>
        </w:tc>
        <w:tc>
          <w:tcPr>
            <w:tcW w:w="210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60" w:type="dxa"/>
            <w:vAlign w:val="bottom"/>
          </w:tcPr>
          <w:p>
            <w:pPr>
              <w:spacing w:after="0"/>
              <w:rPr>
                <w:sz w:val="14"/>
                <w:szCs w:val="14"/>
                <w:color w:val="auto"/>
              </w:rPr>
            </w:pPr>
          </w:p>
        </w:tc>
        <w:tc>
          <w:tcPr>
            <w:tcW w:w="196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180" w:type="dxa"/>
            <w:vAlign w:val="bottom"/>
            <w:gridSpan w:val="2"/>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7"/>
              </w:rPr>
              <w:t>Paid per</w:t>
            </w:r>
          </w:p>
        </w:tc>
        <w:tc>
          <w:tcPr>
            <w:tcW w:w="2100" w:type="dxa"/>
            <w:vAlign w:val="bottom"/>
            <w:gridSpan w:val="2"/>
          </w:tcPr>
          <w:p>
            <w:pPr>
              <w:jc w:val="center"/>
              <w:ind w:right="360"/>
              <w:spacing w:after="0" w:line="186" w:lineRule="exact"/>
              <w:rPr>
                <w:sz w:val="20"/>
                <w:szCs w:val="20"/>
                <w:color w:val="auto"/>
              </w:rPr>
            </w:pPr>
            <w:r>
              <w:rPr>
                <w:rFonts w:ascii="Times New Roman" w:cs="Times New Roman" w:eastAsia="Times New Roman" w:hAnsi="Times New Roman"/>
                <w:sz w:val="18"/>
                <w:szCs w:val="18"/>
                <w:b w:val="1"/>
                <w:bCs w:val="1"/>
                <w:color w:val="auto"/>
                <w:w w:val="97"/>
              </w:rPr>
              <w:t>Announced</w:t>
            </w:r>
          </w:p>
        </w:tc>
        <w:tc>
          <w:tcPr>
            <w:tcW w:w="160" w:type="dxa"/>
            <w:vAlign w:val="bottom"/>
          </w:tcPr>
          <w:p>
            <w:pPr>
              <w:spacing w:after="0"/>
              <w:rPr>
                <w:sz w:val="16"/>
                <w:szCs w:val="16"/>
                <w:color w:val="auto"/>
              </w:rPr>
            </w:pPr>
          </w:p>
        </w:tc>
        <w:tc>
          <w:tcPr>
            <w:tcW w:w="196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225"/>
        </w:trPr>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w w:val="92"/>
              </w:rPr>
              <w:t xml:space="preserve">Program </w:t>
            </w:r>
            <w:r>
              <w:rPr>
                <w:rFonts w:ascii="Times New Roman" w:cs="Times New Roman" w:eastAsia="Times New Roman" w:hAnsi="Times New Roman"/>
                <w:sz w:val="22"/>
                <w:szCs w:val="22"/>
                <w:b w:val="1"/>
                <w:bCs w:val="1"/>
                <w:color w:val="auto"/>
                <w:w w:val="92"/>
                <w:vertAlign w:val="superscript"/>
              </w:rPr>
              <w:t>(1)</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440" w:type="dxa"/>
            <w:vAlign w:val="bottom"/>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(in thousands, except price per share data)</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00" w:type="dxa"/>
            <w:vAlign w:val="bottom"/>
          </w:tcPr>
          <w:p>
            <w:pPr>
              <w:spacing w:after="0"/>
              <w:rPr>
                <w:sz w:val="19"/>
                <w:szCs w:val="19"/>
                <w:color w:val="auto"/>
              </w:rPr>
            </w:pPr>
          </w:p>
        </w:tc>
        <w:tc>
          <w:tcPr>
            <w:tcW w:w="2100" w:type="dxa"/>
            <w:vAlign w:val="bottom"/>
            <w:gridSpan w:val="2"/>
          </w:tcPr>
          <w:p>
            <w:pPr>
              <w:jc w:val="right"/>
              <w:ind w:right="240"/>
              <w:spacing w:after="0" w:line="225" w:lineRule="exact"/>
              <w:rPr>
                <w:sz w:val="20"/>
                <w:szCs w:val="20"/>
                <w:color w:val="auto"/>
              </w:rPr>
            </w:pPr>
            <w:r>
              <w:rPr>
                <w:rFonts w:ascii="Times New Roman" w:cs="Times New Roman" w:eastAsia="Times New Roman" w:hAnsi="Times New Roman"/>
                <w:sz w:val="18"/>
                <w:szCs w:val="18"/>
                <w:color w:val="auto"/>
              </w:rPr>
              <w:t xml:space="preserve">737 </w:t>
            </w:r>
            <w:r>
              <w:rPr>
                <w:rFonts w:ascii="Times New Roman" w:cs="Times New Roman" w:eastAsia="Times New Roman" w:hAnsi="Times New Roman"/>
                <w:sz w:val="22"/>
                <w:szCs w:val="22"/>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546,266</w:t>
            </w:r>
          </w:p>
        </w:tc>
        <w:tc>
          <w:tcPr>
            <w:tcW w:w="0" w:type="dxa"/>
            <w:vAlign w:val="bottom"/>
          </w:tcPr>
          <w:p>
            <w:pPr>
              <w:spacing w:after="0"/>
              <w:rPr>
                <w:sz w:val="1"/>
                <w:szCs w:val="1"/>
                <w:color w:val="auto"/>
              </w:rPr>
            </w:pPr>
          </w:p>
        </w:tc>
      </w:tr>
      <w:tr>
        <w:trPr>
          <w:trHeight w:val="225"/>
        </w:trPr>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100" w:type="dxa"/>
            <w:vAlign w:val="bottom"/>
          </w:tcPr>
          <w:p>
            <w:pPr>
              <w:spacing w:after="0"/>
              <w:rPr>
                <w:sz w:val="19"/>
                <w:szCs w:val="19"/>
                <w:color w:val="auto"/>
              </w:rPr>
            </w:pPr>
          </w:p>
        </w:tc>
        <w:tc>
          <w:tcPr>
            <w:tcW w:w="2100" w:type="dxa"/>
            <w:vAlign w:val="bottom"/>
            <w:gridSpan w:val="2"/>
          </w:tcPr>
          <w:p>
            <w:pPr>
              <w:jc w:val="right"/>
              <w:ind w:right="240"/>
              <w:spacing w:after="0" w:line="225" w:lineRule="exact"/>
              <w:rPr>
                <w:sz w:val="20"/>
                <w:szCs w:val="20"/>
                <w:color w:val="auto"/>
              </w:rPr>
            </w:pPr>
            <w:r>
              <w:rPr>
                <w:rFonts w:ascii="Times New Roman" w:cs="Times New Roman" w:eastAsia="Times New Roman" w:hAnsi="Times New Roman"/>
                <w:sz w:val="18"/>
                <w:szCs w:val="18"/>
                <w:color w:val="auto"/>
              </w:rPr>
              <w:t xml:space="preserve">478 </w:t>
            </w:r>
            <w:r>
              <w:rPr>
                <w:rFonts w:ascii="Times New Roman" w:cs="Times New Roman" w:eastAsia="Times New Roman" w:hAnsi="Times New Roman"/>
                <w:sz w:val="22"/>
                <w:szCs w:val="22"/>
                <w:color w:val="auto"/>
                <w:vertAlign w:val="superscript"/>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467,296</w:t>
            </w:r>
          </w:p>
        </w:tc>
        <w:tc>
          <w:tcPr>
            <w:tcW w:w="0" w:type="dxa"/>
            <w:vAlign w:val="bottom"/>
          </w:tcPr>
          <w:p>
            <w:pPr>
              <w:spacing w:after="0"/>
              <w:rPr>
                <w:sz w:val="1"/>
                <w:szCs w:val="1"/>
                <w:color w:val="auto"/>
              </w:rPr>
            </w:pPr>
          </w:p>
        </w:tc>
      </w:tr>
      <w:tr>
        <w:trPr>
          <w:trHeight w:val="233"/>
        </w:trPr>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00" w:type="dxa"/>
            <w:vAlign w:val="bottom"/>
          </w:tcPr>
          <w:p>
            <w:pPr>
              <w:spacing w:after="0"/>
              <w:rPr>
                <w:sz w:val="20"/>
                <w:szCs w:val="20"/>
                <w:color w:val="auto"/>
              </w:rPr>
            </w:pPr>
          </w:p>
        </w:tc>
        <w:tc>
          <w:tcPr>
            <w:tcW w:w="2100" w:type="dxa"/>
            <w:vAlign w:val="bottom"/>
            <w:gridSpan w:val="2"/>
          </w:tcPr>
          <w:p>
            <w:pPr>
              <w:jc w:val="right"/>
              <w:ind w:right="240"/>
              <w:spacing w:after="0" w:line="233" w:lineRule="exact"/>
              <w:rPr>
                <w:sz w:val="20"/>
                <w:szCs w:val="20"/>
                <w:color w:val="auto"/>
              </w:rPr>
            </w:pPr>
            <w:r>
              <w:rPr>
                <w:rFonts w:ascii="Times New Roman" w:cs="Times New Roman" w:eastAsia="Times New Roman" w:hAnsi="Times New Roman"/>
                <w:sz w:val="27"/>
                <w:szCs w:val="27"/>
                <w:color w:val="auto"/>
                <w:vertAlign w:val="subscript"/>
              </w:rPr>
              <w:t>977</w:t>
            </w:r>
            <w:r>
              <w:rPr>
                <w:rFonts w:ascii="Times New Roman" w:cs="Times New Roman" w:eastAsia="Times New Roman" w:hAnsi="Times New Roman"/>
                <w:sz w:val="10"/>
                <w:szCs w:val="10"/>
                <w:color w:val="auto"/>
              </w:rPr>
              <w:t xml:space="preserve"> (6)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309,350</w:t>
            </w:r>
          </w:p>
        </w:tc>
        <w:tc>
          <w:tcPr>
            <w:tcW w:w="0" w:type="dxa"/>
            <w:vAlign w:val="bottom"/>
          </w:tcPr>
          <w:p>
            <w:pPr>
              <w:spacing w:after="0"/>
              <w:rPr>
                <w:sz w:val="1"/>
                <w:szCs w:val="1"/>
                <w:color w:val="auto"/>
              </w:rPr>
            </w:pPr>
          </w:p>
        </w:tc>
      </w:tr>
      <w:tr>
        <w:trPr>
          <w:trHeight w:val="218"/>
        </w:trPr>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-613410</wp:posOffset>
            </wp:positionV>
            <wp:extent cx="7134860"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-327660</wp:posOffset>
            </wp:positionV>
            <wp:extent cx="713486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240"/>
            <w:col w:w="5620"/>
          </w:cols>
          <w:pgMar w:left="320" w:top="874" w:right="339" w:bottom="1440" w:gutter="0" w:footer="0" w:header="0"/>
          <w:type w:val="continuous"/>
        </w:sectPr>
      </w:pPr>
    </w:p>
    <w:p>
      <w:pPr>
        <w:spacing w:after="0" w:line="206" w:lineRule="exact"/>
        <w:rPr>
          <w:sz w:val="20"/>
          <w:szCs w:val="20"/>
          <w:color w:val="auto"/>
        </w:rPr>
      </w:pPr>
    </w:p>
    <w:p>
      <w:pPr>
        <w:ind w:left="640" w:right="160" w:hanging="634"/>
        <w:spacing w:after="0" w:line="237" w:lineRule="auto"/>
        <w:tabs>
          <w:tab w:leader="none" w:pos="6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$400.0 million to an aggregate authorization of $1.7 billion on April 21, 2025. No time limit has been established for the completion of the Repurchase Program, and the Repurchase Program may be suspended, discontinued or replaced by the Board of Directors at any time without prior notice. During the quarter ended June 30, 2025, we repurchased an aggregate of 2,192,333 shares of our common stock under the Repurchase Program at an average price of $161.88 per share for a total cost of approximately $354.9 million.</w:t>
      </w:r>
    </w:p>
    <w:p>
      <w:pPr>
        <w:sectPr>
          <w:pgSz w:w="11900" w:h="16838" w:orient="portrait"/>
          <w:cols w:equalWidth="0" w:num="1">
            <w:col w:w="11240"/>
          </w:cols>
          <w:pgMar w:left="320" w:top="874" w:right="3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18,854 shares of common stock withheld to cover payroll tax withholdings.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13,388 shares of common stock withheld to cover payroll tax withholdings.</w:t>
      </w:r>
    </w:p>
    <w:p>
      <w:pPr>
        <w:spacing w:after="0" w:line="164" w:lineRule="exact"/>
        <w:rPr>
          <w:sz w:val="20"/>
          <w:szCs w:val="20"/>
          <w:color w:val="auto"/>
        </w:rPr>
      </w:pPr>
    </w:p>
    <w:p>
      <w:pPr>
        <w:ind w:left="20" w:right="20" w:hanging="11"/>
        <w:spacing w:after="0" w:line="274" w:lineRule="auto"/>
        <w:rPr>
          <w:sz w:val="20"/>
          <w:szCs w:val="20"/>
          <w:color w:val="auto"/>
        </w:rPr>
      </w:pPr>
      <w:r>
        <w:rPr>
          <w:rFonts w:ascii="Times New Roman" w:cs="Times New Roman" w:eastAsia="Times New Roman" w:hAnsi="Times New Roman"/>
          <w:sz w:val="18"/>
          <w:szCs w:val="18"/>
          <w:color w:val="auto"/>
        </w:rPr>
        <w:t>During the month ended April 30, 2025, we repurchased and retired 737,231 shares of common stock, at an average price per share of $160.07, for an aggregate cost of $118.0 million.</w:t>
      </w:r>
    </w:p>
    <w:p>
      <w:pPr>
        <w:spacing w:after="0" w:line="110" w:lineRule="exact"/>
        <w:rPr>
          <w:sz w:val="20"/>
          <w:szCs w:val="20"/>
          <w:color w:val="auto"/>
        </w:rPr>
      </w:pPr>
    </w:p>
    <w:p>
      <w:pPr>
        <w:sectPr>
          <w:pgSz w:w="11900" w:h="16838" w:orient="portrait"/>
          <w:cols w:equalWidth="0" w:num="2">
            <w:col w:w="140" w:space="480"/>
            <w:col w:w="10620"/>
          </w:cols>
          <w:pgMar w:left="320" w:top="874" w:right="339" w:bottom="1440" w:gutter="0" w:footer="0" w:header="0"/>
          <w:type w:val="continuous"/>
        </w:sectPr>
      </w:pPr>
    </w:p>
    <w:p>
      <w:pPr>
        <w:ind w:left="640" w:right="80" w:hanging="634"/>
        <w:spacing w:after="0" w:line="225" w:lineRule="auto"/>
        <w:tabs>
          <w:tab w:leader="none" w:pos="6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month ended May 31, 2025, we repurchased and retired 477,589 shares of common stock, at an average price per share of $165.33, for an aggregate cost of $79.0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40" w:name="page41"/>
    <w:bookmarkEnd w:id="40"/>
    <w:p>
      <w:pPr>
        <w:ind w:left="640" w:right="20" w:hanging="634"/>
        <w:spacing w:after="0" w:line="225" w:lineRule="auto"/>
        <w:tabs>
          <w:tab w:leader="none" w:pos="6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month ended June 30, 2025, we repurchased and retired 977,513 shares of common stock, at an average price per share of $161.56, for an aggregate cost of $157.9 million.</w:t>
      </w:r>
    </w:p>
    <w:p>
      <w:pPr>
        <w:spacing w:after="0" w:line="179"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 Trading plans</w:t>
      </w:r>
    </w:p>
    <w:p>
      <w:pPr>
        <w:spacing w:after="0" w:line="166" w:lineRule="exact"/>
        <w:rPr>
          <w:sz w:val="20"/>
          <w:szCs w:val="20"/>
          <w:color w:val="auto"/>
        </w:rPr>
      </w:pPr>
    </w:p>
    <w:p>
      <w:pPr>
        <w:ind w:firstLine="477"/>
        <w:spacing w:after="0" w:line="274" w:lineRule="auto"/>
        <w:rPr>
          <w:sz w:val="20"/>
          <w:szCs w:val="20"/>
          <w:color w:val="auto"/>
        </w:rPr>
      </w:pPr>
      <w:r>
        <w:rPr>
          <w:rFonts w:ascii="Times New Roman" w:cs="Times New Roman" w:eastAsia="Times New Roman" w:hAnsi="Times New Roman"/>
          <w:sz w:val="18"/>
          <w:szCs w:val="18"/>
          <w:color w:val="auto"/>
        </w:rPr>
        <w:t>During the quarter ended June 30, 2025, no director or Section 16 officer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3"/>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940" w:type="dxa"/>
            <w:vAlign w:val="bottom"/>
            <w:gridSpan w:val="17"/>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4"/>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40" w:type="dxa"/>
            <w:vAlign w:val="bottom"/>
            <w:tcBorders>
              <w:top w:val="single" w:sz="8" w:color="auto"/>
            </w:tcBorders>
            <w:gridSpan w:val="1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Articles of Incorporation of FTI Consulting, Inc., as amended and restated. (Filed with the Securities and Exchange Commission on May</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23, 2003 as an Exhibit to FTI Consulting, Inc.’s Current Report on Form 8-K dated May 21, 2003 and incorporated herein by reference.)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7"/>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Articles of Amendment of FTI Consulting, Inc. (Filed with the Securities and Exchange Commission on June 2, 2011 as an Exhibit to FTI</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Consulting, Inc.’s Current Report on Form 8-K dated June 1, 2011 and incorporated herein by reference.)</w:t>
              </w:r>
            </w:hyperlink>
          </w:p>
        </w:tc>
        <w:tc>
          <w:tcPr>
            <w:tcW w:w="2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7"/>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Bylaws of FTI Consulting, Inc., as Amended and Restated Adopted February 20, 2023. (Filed with the Securities and Exchange</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Commission on February 21, 2023 as an Exhibit to FTI Consulting, Inc.’s Current Report on Form 8-K dated February 20, 2023</w:t>
              </w:r>
            </w:hyperlink>
          </w:p>
        </w:tc>
        <w:tc>
          <w:tcPr>
            <w:tcW w:w="900" w:type="dxa"/>
            <w:vAlign w:val="bottom"/>
            <w:gridSpan w:val="11"/>
          </w:tcPr>
          <w:p>
            <w:pPr>
              <w:ind w:left="60"/>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incorporated herein by reference.)</w:t>
              </w:r>
            </w:hyperlink>
          </w:p>
        </w:tc>
        <w:tc>
          <w:tcPr>
            <w:tcW w:w="20" w:type="dxa"/>
            <w:vAlign w:val="bottom"/>
          </w:tcPr>
          <w:p>
            <w:pPr>
              <w:spacing w:after="0"/>
              <w:rPr>
                <w:sz w:val="13"/>
                <w:szCs w:val="13"/>
                <w:color w:val="auto"/>
              </w:rPr>
            </w:pPr>
          </w:p>
        </w:tc>
        <w:tc>
          <w:tcPr>
            <w:tcW w:w="4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7"/>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FTI Consulting, Inc. 2017 Omnibus Incentive Compensation Plan (Adopted Effective as of June 7, 2017, as Amended Effective as of June</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4, 2025). (Filed with the Securities and Exchange Commission as Exhibit 10.1 to FTI Consulting, Inc.’s Current Report on Form 8-K dated</w:t>
              </w:r>
            </w:hyperlink>
          </w:p>
        </w:tc>
        <w:tc>
          <w:tcPr>
            <w:tcW w:w="6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16"/>
          </w:tcPr>
          <w:p>
            <w:pPr>
              <w:spacing w:after="0" w:line="152"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June 4, 2025, filed with the SEC on June 5, 2025 and incorporated herein by reference.)</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15d-14(a) under the Securities Exchange Act of 1934, as</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7"/>
                <w:szCs w:val="17"/>
                <w:color w:val="0000FF"/>
              </w:rPr>
              <w:t>amended (Section 302 of the Sarbanes-Oxley Act of 2002.)</w:t>
            </w:r>
          </w:p>
        </w:tc>
        <w:tc>
          <w:tcPr>
            <w:tcW w:w="5160" w:type="dxa"/>
            <w:vAlign w:val="bottom"/>
            <w:tcBorders>
              <w:top w:val="single" w:sz="8" w:color="0000FF"/>
            </w:tcBorders>
            <w:gridSpan w:val="8"/>
          </w:tcPr>
          <w:p>
            <w:pPr>
              <w:spacing w:after="0"/>
              <w:rPr>
                <w:sz w:val="13"/>
                <w:szCs w:val="13"/>
                <w:color w:val="auto"/>
              </w:rPr>
            </w:pPr>
          </w:p>
        </w:tc>
        <w:tc>
          <w:tcPr>
            <w:tcW w:w="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15d-14(a) under the Securities Exchange Act of 1934, as</w:t>
            </w: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amended (Section 302 of the Sarbanes-Oxley Act of 2002.)</w:t>
            </w:r>
          </w:p>
        </w:tc>
        <w:tc>
          <w:tcPr>
            <w:tcW w:w="5120" w:type="dxa"/>
            <w:vAlign w:val="bottom"/>
            <w:tcBorders>
              <w:top w:val="single" w:sz="8" w:color="0000FF"/>
            </w:tcBorders>
            <w:gridSpan w:val="7"/>
          </w:tcPr>
          <w:p>
            <w:pPr>
              <w:spacing w:after="0"/>
              <w:rPr>
                <w:sz w:val="13"/>
                <w:szCs w:val="13"/>
                <w:color w:val="auto"/>
              </w:rPr>
            </w:pPr>
          </w:p>
        </w:tc>
        <w:tc>
          <w:tcPr>
            <w:tcW w:w="6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 pursuant to 18 U.S.C. Section 1350 (Section 906 of the Sarbanes-Oxley Act of 2002.)</w:t>
            </w:r>
          </w:p>
        </w:tc>
        <w:tc>
          <w:tcPr>
            <w:tcW w:w="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80" w:right="160" w:hanging="1256"/>
        <w:spacing w:after="0" w:line="213"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FTI Consulting, Inc., included herewith, and formatted in Inline XBRL (eXtensible Business Reporting Language): (i) Condensed Consolidated Balance Sheets as of June 30, 2025 and December 31, 2024; (ii) Condensed Consolidated Statements of Comprehensive Income for the three and six months ended June 30, 2025 and 2024; (iii) Condensed Consolidated Statements of Stockholders’ Equity for the three and six months ended June 30, 2025 and 2024; (iv) Condensed Consolidated Statements of Cash Flows for the six months ended June 30, 2025 and 2024; and (v) Notes to the Condensed Consolidated Financial Statements, tagged as blocks of text.</w:t>
      </w:r>
    </w:p>
    <w:p>
      <w:pPr>
        <w:spacing w:after="0" w:line="170" w:lineRule="exact"/>
        <w:rPr>
          <w:sz w:val="20"/>
          <w:szCs w:val="20"/>
          <w:color w:val="auto"/>
        </w:rPr>
      </w:pPr>
    </w:p>
    <w:p>
      <w:pPr>
        <w:ind w:left="1280" w:right="580" w:hanging="1256"/>
        <w:spacing w:after="0" w:line="234"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2025, formatted in Inline XBRL (included as Exhibit 101).</w:t>
      </w:r>
    </w:p>
    <w:p>
      <w:pPr>
        <w:spacing w:after="0" w:line="272" w:lineRule="exact"/>
        <w:rPr>
          <w:sz w:val="20"/>
          <w:szCs w:val="20"/>
          <w:color w:val="auto"/>
        </w:rPr>
      </w:pPr>
    </w:p>
    <w:p>
      <w:pPr>
        <w:ind w:left="740" w:hanging="71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4" w:lineRule="exact"/>
        <w:rPr>
          <w:sz w:val="20"/>
          <w:szCs w:val="20"/>
          <w:color w:val="auto"/>
        </w:rPr>
      </w:pPr>
    </w:p>
    <w:p>
      <w:pPr>
        <w:ind w:left="740" w:hanging="71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90" w:lineRule="exact"/>
        <w:rPr>
          <w:sz w:val="20"/>
          <w:szCs w:val="20"/>
          <w:color w:val="auto"/>
        </w:rPr>
      </w:pPr>
    </w:p>
    <w:p>
      <w:pPr>
        <w:ind w:left="740" w:right="40" w:hanging="716"/>
        <w:spacing w:after="0" w:line="234"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477"/>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244" w:lineRule="exact"/>
        <w:rPr>
          <w:sz w:val="20"/>
          <w:szCs w:val="20"/>
          <w:color w:val="auto"/>
        </w:rPr>
      </w:pPr>
    </w:p>
    <w:p>
      <w:pPr>
        <w:ind w:left="560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14605</wp:posOffset>
            </wp:positionV>
            <wp:extent cx="30289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1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Brendan Keating</w:t>
      </w:r>
    </w:p>
    <w:p>
      <w:pPr>
        <w:spacing w:after="0" w:line="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Accounting Officer and</w:t>
      </w: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Controller</w:t>
      </w:r>
    </w:p>
    <w:p>
      <w:pPr>
        <w:spacing w:after="0" w:line="10"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874"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 Gunby, certify that:</w:t>
      </w:r>
    </w:p>
    <w:p>
      <w:pPr>
        <w:spacing w:after="0" w:line="138" w:lineRule="exact"/>
        <w:rPr>
          <w:sz w:val="20"/>
          <w:szCs w:val="20"/>
          <w:color w:val="auto"/>
        </w:rPr>
      </w:pPr>
    </w:p>
    <w:p>
      <w:pPr>
        <w:ind w:left="740" w:hanging="716"/>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24" w:lineRule="exact"/>
        <w:rPr>
          <w:rFonts w:ascii="Times New Roman" w:cs="Times New Roman" w:eastAsia="Times New Roman" w:hAnsi="Times New Roman"/>
          <w:sz w:val="18"/>
          <w:szCs w:val="18"/>
          <w:color w:val="auto"/>
        </w:rPr>
      </w:pPr>
    </w:p>
    <w:p>
      <w:pPr>
        <w:jc w:val="both"/>
        <w:ind w:left="740" w:right="220" w:hanging="716"/>
        <w:spacing w:after="0" w:line="227"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740" w:right="240" w:hanging="716"/>
        <w:spacing w:after="0" w:line="234"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8"/>
          <w:szCs w:val="18"/>
          <w:color w:val="auto"/>
        </w:rPr>
      </w:pPr>
    </w:p>
    <w:p>
      <w:pPr>
        <w:ind w:left="740" w:right="220" w:hanging="716"/>
        <w:spacing w:after="0" w:line="22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960" w:right="260" w:hanging="318"/>
        <w:spacing w:after="0" w:line="253" w:lineRule="auto"/>
        <w:tabs>
          <w:tab w:leader="none" w:pos="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60" w:right="580" w:hanging="318"/>
        <w:spacing w:after="0" w:line="245"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960" w:right="740" w:hanging="318"/>
        <w:spacing w:after="0" w:line="260" w:lineRule="auto"/>
        <w:tabs>
          <w:tab w:leader="none" w:pos="95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260" w:hanging="318"/>
        <w:spacing w:after="0" w:line="248"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left="740" w:right="120" w:hanging="716"/>
        <w:spacing w:after="0" w:line="234"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8"/>
          <w:szCs w:val="18"/>
          <w:color w:val="auto"/>
        </w:rPr>
      </w:pPr>
    </w:p>
    <w:p>
      <w:pPr>
        <w:ind w:left="960" w:right="160" w:hanging="318"/>
        <w:spacing w:after="0" w:line="257" w:lineRule="auto"/>
        <w:tabs>
          <w:tab w:leader="none" w:pos="9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120" w:hanging="318"/>
        <w:spacing w:after="0" w:line="251" w:lineRule="auto"/>
        <w:tabs>
          <w:tab w:leader="none" w:pos="9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76" w:lineRule="exact"/>
        <w:rPr>
          <w:sz w:val="20"/>
          <w:szCs w:val="20"/>
          <w:color w:val="auto"/>
        </w:rPr>
      </w:pPr>
    </w:p>
    <w:p>
      <w:pPr>
        <w:ind w:left="560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14605</wp:posOffset>
            </wp:positionV>
            <wp:extent cx="3592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592830" cy="8255"/>
                    </a:xfrm>
                    <a:prstGeom prst="rect">
                      <a:avLst/>
                    </a:prstGeom>
                    <a:noFill/>
                  </pic:spPr>
                </pic:pic>
              </a:graphicData>
            </a:graphic>
          </wp:anchor>
        </w:drawing>
      </w:r>
    </w:p>
    <w:p>
      <w:pPr>
        <w:spacing w:after="0" w:line="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3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3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7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Ajay Sabherwal, certify that:</w:t>
      </w:r>
    </w:p>
    <w:p>
      <w:pPr>
        <w:spacing w:after="0" w:line="138" w:lineRule="exact"/>
        <w:rPr>
          <w:sz w:val="20"/>
          <w:szCs w:val="20"/>
          <w:color w:val="auto"/>
        </w:rPr>
      </w:pPr>
    </w:p>
    <w:p>
      <w:pPr>
        <w:ind w:left="740" w:hanging="716"/>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24" w:lineRule="exact"/>
        <w:rPr>
          <w:rFonts w:ascii="Times New Roman" w:cs="Times New Roman" w:eastAsia="Times New Roman" w:hAnsi="Times New Roman"/>
          <w:sz w:val="18"/>
          <w:szCs w:val="18"/>
          <w:color w:val="auto"/>
        </w:rPr>
      </w:pPr>
    </w:p>
    <w:p>
      <w:pPr>
        <w:jc w:val="both"/>
        <w:ind w:left="740" w:right="220" w:hanging="716"/>
        <w:spacing w:after="0" w:line="227"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740" w:right="240" w:hanging="716"/>
        <w:spacing w:after="0" w:line="234"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8"/>
          <w:szCs w:val="18"/>
          <w:color w:val="auto"/>
        </w:rPr>
      </w:pPr>
    </w:p>
    <w:p>
      <w:pPr>
        <w:ind w:left="740" w:right="220" w:hanging="716"/>
        <w:spacing w:after="0" w:line="22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960" w:right="260" w:hanging="318"/>
        <w:spacing w:after="0" w:line="253" w:lineRule="auto"/>
        <w:tabs>
          <w:tab w:leader="none" w:pos="9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60" w:right="580" w:hanging="318"/>
        <w:spacing w:after="0" w:line="245"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960" w:right="740" w:hanging="318"/>
        <w:spacing w:after="0" w:line="260" w:lineRule="auto"/>
        <w:tabs>
          <w:tab w:leader="none" w:pos="9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260" w:hanging="318"/>
        <w:spacing w:after="0" w:line="248"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Times New Roman" w:cs="Times New Roman" w:eastAsia="Times New Roman" w:hAnsi="Times New Roman"/>
          <w:sz w:val="18"/>
          <w:szCs w:val="18"/>
          <w:color w:val="auto"/>
        </w:rPr>
      </w:pPr>
    </w:p>
    <w:p>
      <w:pPr>
        <w:ind w:left="740" w:right="120" w:hanging="716"/>
        <w:spacing w:after="0" w:line="234"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8"/>
          <w:szCs w:val="18"/>
          <w:color w:val="auto"/>
        </w:rPr>
      </w:pPr>
    </w:p>
    <w:p>
      <w:pPr>
        <w:ind w:left="960" w:right="160" w:hanging="318"/>
        <w:spacing w:after="0" w:line="257" w:lineRule="auto"/>
        <w:tabs>
          <w:tab w:leader="none" w:pos="9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120" w:hanging="318"/>
        <w:spacing w:after="0" w:line="251" w:lineRule="auto"/>
        <w:tabs>
          <w:tab w:leader="none" w:pos="9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76" w:lineRule="exact"/>
        <w:rPr>
          <w:sz w:val="20"/>
          <w:szCs w:val="20"/>
          <w:color w:val="auto"/>
        </w:rPr>
      </w:pPr>
    </w:p>
    <w:p>
      <w:pPr>
        <w:ind w:left="560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AJAY SABHERWAL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14605</wp:posOffset>
            </wp:positionV>
            <wp:extent cx="35928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592830" cy="8255"/>
                    </a:xfrm>
                    <a:prstGeom prst="rect">
                      <a:avLst/>
                    </a:prstGeom>
                    <a:noFill/>
                  </pic:spPr>
                </pic:pic>
              </a:graphicData>
            </a:graphic>
          </wp:anchor>
        </w:drawing>
      </w:r>
    </w:p>
    <w:p>
      <w:pPr>
        <w:spacing w:after="0" w:line="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Ajay Sabherwal</w:t>
      </w:r>
    </w:p>
    <w:p>
      <w:pPr>
        <w:spacing w:after="0" w:line="3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8"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7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ind w:right="20" w:firstLine="477"/>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June 30, 2025, as filed with the Securities and Exchange Commission on the date hereof (the “Report”), I, Steven H. Gunby, President and Chief Executive Officer (principal executive officer) of the Company, certify, pursuant to 18 U.S.C. Section 1350, as adopted pursuant to Section 906 of the Sarbanes-Oxley Act of 2002, that to the best of my knowledge:</w:t>
      </w:r>
    </w:p>
    <w:p>
      <w:pPr>
        <w:spacing w:after="0" w:line="101" w:lineRule="exact"/>
        <w:rPr>
          <w:sz w:val="20"/>
          <w:szCs w:val="20"/>
          <w:color w:val="auto"/>
        </w:rPr>
      </w:pPr>
    </w:p>
    <w:p>
      <w:pPr>
        <w:ind w:left="740" w:hanging="71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24" w:lineRule="exact"/>
        <w:rPr>
          <w:rFonts w:ascii="Times New Roman" w:cs="Times New Roman" w:eastAsia="Times New Roman" w:hAnsi="Times New Roman"/>
          <w:sz w:val="18"/>
          <w:szCs w:val="18"/>
          <w:color w:val="auto"/>
        </w:rPr>
      </w:pPr>
    </w:p>
    <w:p>
      <w:pPr>
        <w:ind w:right="320" w:firstLine="24"/>
        <w:spacing w:after="0" w:line="381" w:lineRule="auto"/>
        <w:tabs>
          <w:tab w:leader="none" w:pos="7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24, 2025</w:t>
      </w:r>
    </w:p>
    <w:p>
      <w:pPr>
        <w:spacing w:after="0" w:line="244" w:lineRule="exact"/>
        <w:rPr>
          <w:sz w:val="20"/>
          <w:szCs w:val="20"/>
          <w:color w:val="auto"/>
        </w:rPr>
      </w:pPr>
    </w:p>
    <w:p>
      <w:pPr>
        <w:ind w:left="6080"/>
        <w:spacing w:after="0"/>
        <w:tabs>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23495</wp:posOffset>
            </wp:positionV>
            <wp:extent cx="32899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38"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38"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2" w:lineRule="exact"/>
        <w:rPr>
          <w:sz w:val="20"/>
          <w:szCs w:val="20"/>
          <w:color w:val="auto"/>
        </w:rPr>
      </w:pPr>
    </w:p>
    <w:p>
      <w:pPr>
        <w:ind w:right="580" w:firstLine="477"/>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ind w:right="160" w:firstLine="477"/>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June 30, 2025, as filed with the Securities and Exchange Commission on the date hereof (the “Report”), I, Ajay Sabherwal, Chief Financial Officer (principal financial officer) of the Company, certify, pursuant to 18 U.S.C. Section 1350, as adopted pursuant to Section 906 of the Sarbanes-Oxley Act of 2002, that to the best of my knowledge:</w:t>
      </w:r>
    </w:p>
    <w:p>
      <w:pPr>
        <w:spacing w:after="0" w:line="101" w:lineRule="exact"/>
        <w:rPr>
          <w:sz w:val="20"/>
          <w:szCs w:val="20"/>
          <w:color w:val="auto"/>
        </w:rPr>
      </w:pPr>
    </w:p>
    <w:p>
      <w:pPr>
        <w:ind w:left="740" w:hanging="716"/>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24" w:lineRule="exact"/>
        <w:rPr>
          <w:rFonts w:ascii="Times New Roman" w:cs="Times New Roman" w:eastAsia="Times New Roman" w:hAnsi="Times New Roman"/>
          <w:sz w:val="18"/>
          <w:szCs w:val="18"/>
          <w:color w:val="auto"/>
        </w:rPr>
      </w:pPr>
    </w:p>
    <w:p>
      <w:pPr>
        <w:ind w:right="320" w:firstLine="24"/>
        <w:spacing w:after="0" w:line="381" w:lineRule="auto"/>
        <w:tabs>
          <w:tab w:leader="none" w:pos="7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24, 2025</w:t>
      </w:r>
    </w:p>
    <w:p>
      <w:pPr>
        <w:spacing w:after="0" w:line="244" w:lineRule="exact"/>
        <w:rPr>
          <w:sz w:val="20"/>
          <w:szCs w:val="20"/>
          <w:color w:val="auto"/>
        </w:rPr>
      </w:pPr>
    </w:p>
    <w:p>
      <w:pPr>
        <w:ind w:left="6020"/>
        <w:spacing w:after="0"/>
        <w:tabs>
          <w:tab w:leader="none" w:pos="8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AJAY SABHERWAL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23495</wp:posOffset>
            </wp:positionV>
            <wp:extent cx="333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9"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Ajay Sabherwal</w:t>
      </w:r>
    </w:p>
    <w:p>
      <w:pPr>
        <w:spacing w:after="0" w:line="38"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8"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22" w:lineRule="exact"/>
        <w:rPr>
          <w:sz w:val="20"/>
          <w:szCs w:val="20"/>
          <w:color w:val="auto"/>
        </w:rPr>
      </w:pPr>
    </w:p>
    <w:p>
      <w:pPr>
        <w:ind w:right="580" w:firstLine="477"/>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amp;"/>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5"/>
    </w:lvl>
  </w:abstractNum>
  <w:abstractNum w:abstractNumId="18">
    <w:nsid w:val="6763845E"/>
    <w:multiLevelType w:val="hybridMultilevel"/>
    <w:lvl w:ilvl="0">
      <w:lvlJc w:val="left"/>
      <w:lvlText w:val="(%1)"/>
      <w:numFmt w:val="decimal"/>
      <w:start w:val="6"/>
    </w:lvl>
  </w:abstractNum>
  <w:abstractNum w:abstractNumId="19">
    <w:nsid w:val="75A2A8D4"/>
    <w:multiLevelType w:val="hybridMultilevel"/>
    <w:lvl w:ilvl="0">
      <w:lvlJc w:val="left"/>
      <w:lvlText w:val="%1"/>
      <w:numFmt w:val="decimal"/>
      <w:start w:val="101"/>
    </w:lvl>
  </w:abstractNum>
  <w:abstractNum w:abstractNumId="20">
    <w:nsid w:val="8EDBDAB"/>
    <w:multiLevelType w:val="hybridMultilevel"/>
    <w:lvl w:ilvl="0">
      <w:lvlJc w:val="left"/>
      <w:lvlText w:val="%1"/>
      <w:numFmt w:val="decimal"/>
      <w:start w:val="104"/>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69" Type="http://schemas.openxmlformats.org/officeDocument/2006/relationships/hyperlink" Target="https://www.sec.gov/Archives/edgar/data/887936/000102140803008198/dex992.txt" TargetMode="External"/><Relationship Id="rId70" Type="http://schemas.openxmlformats.org/officeDocument/2006/relationships/hyperlink" Target="https://www.sec.gov/Archives/edgar/data/887936/000119312511157222/dex31.htm" TargetMode="External"/><Relationship Id="rId71" Type="http://schemas.openxmlformats.org/officeDocument/2006/relationships/hyperlink" Target="https://www.sec.gov/Archives/edgar/data/887936/000119312523043569/d465351dex31.htm" TargetMode="External"/><Relationship Id="rId72" Type="http://schemas.openxmlformats.org/officeDocument/2006/relationships/hyperlink" Target="https://www.sec.gov/Archives/edgar/data/887936/000119312525135953/d187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2025-07-24T06:35:08Z</dcterms:created>
  <dcterms:modified xsi:type="dcterms:W3CDTF">2025-07-24T06:35:08Z</dcterms:modified>
</cp:coreProperties>
</file>